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https://www.autoritedelaconcurrence.fr/fr/decision-de-controle-des-concentrations/relative-la-prise-de-controle-exclusif-des-societes-liberty</w:t>
      </w:r>
    </w:p>
    <w:p>
      <w:r>
        <w:t>Pages translated : 2</w:t>
      </w:r>
    </w:p>
    <w:p/>
    <w:p>
      <w:r>
        <w:rPr>
          <w:b/>
        </w:rPr>
        <w:t>[Pages 1–2]</w:t>
      </w:r>
    </w:p>
    <w:p>
      <w:r>
        <w:t xml:space="preserve">FRENCH REPUBLIC  </w:t>
        <w:br/>
        <w:t xml:space="preserve">Decision No. 21-DCC-183 of October 13, 2021  </w:t>
        <w:br/>
        <w:t xml:space="preserve">regarding the exclusive control acquisition of the companies Liberty Rail Hayange and Liberty Ascoval by the company SHS  </w:t>
        <w:br/>
        <w:t xml:space="preserve">The Competition Authority,  </w:t>
        <w:br/>
        <w:t xml:space="preserve">Having regard to the notification file sent to the mergers department on June 11, 2021, declared complete on September 28, 2021, concerning the acquisition of control of the companies Liberty Rail Hayange and Liberty Ascoval by the company SHS – Stahl-Holding-Saar GmbH &amp; Co. KGaA, formalized by a takeover offer dated June 2, 2021, and a supplementary offer dated June 15, 2021, as well as by the judgment approving the conciliation protocol for the benefit of the companies Liberty Steel France Holding SAS, Liberty Ascoval SAS, and Liberty Rail Hayange SAS rendered by the Commercial Court of Paris on August 2, 2021;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1. The notified operation consists of the exclusive control acquisition by the company SHS – Stahl-Holding-Saar GmbH &amp; Co. KGaA of the companies Liberty Ascoval and Liberty Rail Hayange. The acquirer and the target companies are active in the steel industry, and more specifically in the production and marketing of semi-finished and finished carbon steel products.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In view of the elements of the file, the operation is not likely to harm competition in the relevant markets.  </w:t>
        <w:br/>
        <w:t xml:space="preserve">DECIDES  </w:t>
        <w:br/>
        <w:t xml:space="preserve">Sole Article: The operation notified under number 21-125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