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https://www.autoritedelaconcurrence.fr/fr/decision-de-controle-des-concentrations/relative-la-prise-de-controle-exclusif-des-societes-lmg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24-DCC-201 of September 17, 2024  </w:t>
        <w:br/>
        <w:t xml:space="preserve">regarding the exclusive control acquisition of LMG Assurances SA  </w:t>
        <w:br/>
        <w:t xml:space="preserve">and Flex Conseil et Services by CNP Assurances  </w:t>
        <w:br/>
        <w:t xml:space="preserve">The Competition Authority,  </w:t>
        <w:br/>
        <w:t xml:space="preserve">Having regard to the complete notification file submitted to the mergers department on September 2, 2024,  </w:t>
        <w:br/>
        <w:t xml:space="preserve">concerning the exclusive control acquisition of LMG Assurances SA and Flex Conseil et  </w:t>
        <w:br/>
        <w:t xml:space="preserve">Services by CNP Assurances formalized by the signing, on July 15, 2024, of a memorandum of understanding and a transfer agreement;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transaction consists of the acquisition by CNP Assurances of 65% of the capital  </w:t>
        <w:br/>
        <w:t xml:space="preserve">and voting rights of LMG Assurances SA and all of the capital and voting rights of Flex Conseil et Services, which are primarily active in France  </w:t>
        <w:br/>
        <w:t xml:space="preserve">in the production of personal insurance concerning health and welfare risks.  </w:t>
        <w:br/>
        <w:t xml:space="preserve">The transaction constitutes a concentration within the meaning of Article L. 430-1 of the Commercial Code.  </w:t>
        <w:br/>
        <w:t xml:space="preserve">Given the turnover generated by the companies concerned, the transaction does not fall under the jurisdiction of the European Union.  </w:t>
        <w:br/>
        <w:t xml:space="preserve">On the other hand, the control thresholds mentioned in I of Article L. 430-2 of the Commercial Code are exceeded.  </w:t>
        <w:br/>
        <w:t xml:space="preserve">This transaction is therefore subject to the provisions of Articles L. 430-3 and following of the Commercial Code relating to economic concentration.  </w:t>
        <w:br/>
        <w:t>2. In light of the elements of the file, the transaction is not likely to harm competition in the relevant markets.</w:t>
      </w:r>
    </w:p>
    <w:p>
      <w:r>
        <w:t xml:space="preserve">DECIDES  </w:t>
        <w:br/>
        <w:t xml:space="preserve">Sole Article: The notified transaction under number 24-176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