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https://www.autoritedelaconcurrence.fr/fr/decision-de-controle-des-concentrations/relative-la-prise-de-controle-exclusif-des-societes-lvb</w:t>
      </w:r>
    </w:p>
    <w:p>
      <w:r>
        <w:t>Pages translated : 2</w:t>
      </w:r>
    </w:p>
    <w:p/>
    <w:p>
      <w:r>
        <w:rPr>
          <w:b/>
        </w:rPr>
        <w:t>[Pages 1–2]</w:t>
      </w:r>
    </w:p>
    <w:p>
      <w:r>
        <w:t xml:space="preserve">FRENCH REPUBLIC  </w:t>
        <w:br/>
        <w:t xml:space="preserve">Decision No. 19-DCC-39 of February 28, 2019  </w:t>
        <w:br/>
        <w:t xml:space="preserve">regarding the exclusive control acquisition of the companies Lvb Invest, Groupe  </w:t>
        <w:br/>
        <w:t xml:space="preserve">Autos 60, Garges Automobiles Services, Noisy Automobiles Services  </w:t>
        <w:br/>
        <w:t>by the Amplitude group</w:t>
      </w:r>
    </w:p>
    <w:p>
      <w:r>
        <w:t>The Competition Authority,</w:t>
      </w:r>
    </w:p>
    <w:p>
      <w:r>
        <w:t>Having regard to the complete notification file submitted to the mergers department on February 8, 2019, concerning the exclusive control acquisition of the companies Lvb Invest, Groupe Autos 60, Garges Automobiles Services, Noisy Automobiles Services by the company Amplitude, and formalized by a letter of intent dated December 12, 2018;</w:t>
      </w:r>
    </w:p>
    <w:p>
      <w:r>
        <w:t>Having regard to Book IV of the Commercial Code relating to the freedom of prices and competition, and in particular its Articles L. 430-1 to L. 430-7;</w:t>
      </w:r>
    </w:p>
    <w:p>
      <w:r>
        <w:t>Having regard to the elements transmitted by the notifying party during the investigation;</w:t>
      </w:r>
    </w:p>
    <w:p>
      <w:r>
        <w:t xml:space="preserve">Adopts the following decision:  </w:t>
        <w:br/>
        <w:t xml:space="preserve">1. The notified operation consists of the exclusive control acquisition by the company Amplitude of the companies Lvb Invest, Groupe Autos 60, Garges Automobiles Services, Noisy Automobiles Services, which operate four car dealerships of Kia and Suzuki brands located in the departments of Oise (60), Val-d’Oise (95), and Seine-Saint-Denis (93). The notified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19-032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