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https://www.autoritedelaconcurrence.fr/fr/decision-de-controle-des-concentrations/relative-la-prise-de-controle-exclusif-des-societes-mac</w:t>
      </w:r>
    </w:p>
    <w:p>
      <w:r>
        <w:t>Pages translated : 2</w:t>
      </w:r>
    </w:p>
    <w:p/>
    <w:p>
      <w:r>
        <w:rPr>
          <w:b/>
        </w:rPr>
        <w:t>[Pages 1–2]</w:t>
      </w:r>
    </w:p>
    <w:p>
      <w:r>
        <w:t xml:space="preserve">FRENCH REPUBLIC  </w:t>
        <w:br/>
        <w:t xml:space="preserve">Decision No. 21-DCC-44 of March 11, 2021  </w:t>
        <w:br/>
        <w:t xml:space="preserve">regarding the exclusive control acquisition of the companies Mac Liphe, Twelve, Platynum, and SAM Garage de la Frontière by BPM Group  </w:t>
        <w:br/>
        <w:t xml:space="preserve">The Competition Authority,  </w:t>
        <w:br/>
        <w:t xml:space="preserve">Having regard to the notification file sent to the mergers department on February 12, 2021, declared complete on March 2, 2021, concerning the exclusive control acquisition of the companies Mac Liphe, Twelve, Platynum, and SAM Garage de la Frontière by BPM Group, formalized by an acquisition offer dated February 10, 2021;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of the companies Mac Liphe, Twelve, Platynum, and SAM Garage de la Frontière, operating automotive concessions in Monaco and an automotive garage in Cap d’Ail (06) by the company BPM Group, which is itself active in the sector of distribution and repair of motor vehicles. It constitutes a concentration operation within the meaning of Article L. 430-1 of the Commercial Code. Given the turnover achieved by the companies concerned, the operation does not fall under the jurisdiction of the European Union. However, the retail trade control thresholds mentioned in point II of Article L. 430-2 of the Commercial Code are exceeded. This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21-032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