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https://www.autoritedelaconcurrence.fr/fr/decision-de-controle-des-concentrations/relative-la-prise-de-controle-exclusif-des-societes-madif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17-DCC-55 of April 25, 2017  </w:t>
        <w:br/>
        <w:t xml:space="preserve">regarding the exclusive control acquisition of the companies Madif and Chesnot  </w:t>
        <w:br/>
        <w:t xml:space="preserve">by the company ITM Alimentaire Ouest  </w:t>
        <w:br/>
        <w:t xml:space="preserve">The Competition Authority,  </w:t>
        <w:br/>
        <w:t xml:space="preserve">Having regard to the complete notification file submitted to the mergers department on March 24, 2017,  </w:t>
        <w:br/>
        <w:t xml:space="preserve">concerning the exclusive control acquisition of the companies Madif and Chesnot by the company ITM  </w:t>
        <w:br/>
        <w:t xml:space="preserve">Alimentaire Ouest, formalized by a memorandum of understanding dated March 21, 2017;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company ITM Alimentaire Ouest of exclusive  </w:t>
        <w:br/>
        <w:t xml:space="preserve">control over the companies Madif and Chesnot, which operate two food-oriented retail outlets under the  </w:t>
        <w:br/>
        <w:t xml:space="preserve">brands Intermarché and Netto in the city of Douarnenez (29). This operation constitutes a concentration  </w:t>
        <w:br/>
        <w:t xml:space="preserve">operation within the meaning of Article L. 430-1 of the Commercial Code. Given the revenues generated by  </w:t>
        <w:br/>
        <w:t xml:space="preserve">the companies concerned, the operation does not fall under the jurisdiction of the European Union.  </w:t>
        <w:br/>
        <w:t xml:space="preserve">However, the control thresholds related to retail trade mentioned in point II of Article L. 430-2 of the  </w:t>
        <w:br/>
        <w:t xml:space="preserve">Commercial Code are exceeded. This operation is therefore subject to the provisions of Articles L. 430-3 and  </w:t>
        <w:br/>
        <w:t xml:space="preserve">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17-052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