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https://www.autoritedelaconcurrence.fr/fr/decision-de-controle-des-concentrations/relative-la-prise-de-controle-exclusif-des-societes-mapauto</w:t>
      </w:r>
    </w:p>
    <w:p>
      <w:r>
        <w:t>Pages translated : 2</w:t>
      </w:r>
    </w:p>
    <w:p/>
    <w:p>
      <w:r>
        <w:rPr>
          <w:b/>
        </w:rPr>
        <w:t>[Pages 1–2]</w:t>
      </w:r>
    </w:p>
    <w:p>
      <w:r>
        <w:t xml:space="preserve">FRENCH REPUBLIC  </w:t>
        <w:br/>
        <w:t xml:space="preserve">Decision No. 26-DCC-41 of February 2, 2026  </w:t>
        <w:br/>
        <w:t>regarding the exclusive control acquisition of the companies Mapauto and Azur Autos by the Pautric group</w:t>
      </w:r>
    </w:p>
    <w:p>
      <w:r>
        <w:t>The Competition Authority,</w:t>
      </w:r>
    </w:p>
    <w:p>
      <w:r>
        <w:t xml:space="preserve">Having regard to the complete notification file submitted to the mergers department on January 15, 2026, concerning the exclusive control acquisition of the companies Mapauto and Azur Autos by the Pautric group, formalized by a transfer protocol signed on December 16, 2025;  </w:t>
        <w:b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SOCCAD, a subsidiary of the Pautric group, of exclusive control over the companies Mapauto and Azur Autos, which are respectively active in the automobile distribution sector in Fréjus (06) on the one hand, and in Nice and Le Cannet (06) on the other hand.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25-284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