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https://www.autoritedelaconcurrence.fr/fr/decision-de-controle-des-concentrations/relative-la-prise-de-controle-exclusif-des-societes-matmut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17-DCC-38 of March 27, 2017  </w:t>
        <w:br/>
        <w:t xml:space="preserve">regarding the exclusive control acquisition of the companies Matmut Protection  </w:t>
        <w:br/>
        <w:t xml:space="preserve">juridique, Matmut Vie, Matmut Développement, Matmut Immobilier,  </w:t>
        <w:br/>
        <w:t xml:space="preserve">Matmut location véhicules, Matmut Innovation, Inter Mutuelles  </w:t>
        <w:br/>
        <w:t xml:space="preserve">Entreprises, Inter Mutuelle Solutions, AMF Assurances and Sgam Viana  </w:t>
        <w:br/>
        <w:t xml:space="preserve">by the company Matmut  </w:t>
        <w:br/>
        <w:t xml:space="preserve">The Competition Authority,  </w:t>
        <w:br/>
        <w:t xml:space="preserve">Having regard to the complete notification file sent to the mergers department on February 24, 2017,  </w:t>
        <w:br/>
        <w:t xml:space="preserve">concerning the exclusive control acquisition of the companies Matmut Protection juridique, Matmut Vie,  </w:t>
        <w:br/>
        <w:t xml:space="preserve">Matmut Développement, Matmut Immobilier, Matmut location véhicules, Matmut Innovation,  </w:t>
        <w:br/>
        <w:t xml:space="preserve">Inter Mutuelles Entreprises, Inter Mutuelle Solutions, AMF Assurances and Sgam Viana by the  </w:t>
        <w:br/>
        <w:t xml:space="preserve">company Matmut and formalized by a report of the extraordinary general meeting of  </w:t>
        <w:br/>
        <w:t xml:space="preserve">SFEREN on September 28, 2016;  </w:t>
        <w:br/>
        <w:t xml:space="preserve">Having regard to Book IV of the Commercial Code relating to price freedom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companies Matmut Protection  </w:t>
        <w:br/>
        <w:t xml:space="preserve">juridique, Matmut Vie, Matmut Développement, Matmut Immobilier, Matmut location  </w:t>
        <w:br/>
        <w:t xml:space="preserve">véhicules, Matmut Innovation, Inter Mutuelles Entreprises, Inter Mutuelle Solutions, AMF  </w:t>
        <w:br/>
        <w:t xml:space="preserve">Assurances and Sgam Viana by the company Matmut, companies active in the insurance sector. It constitutes a concentration operation within the meaning of Article L. 430-1 of the Commercial Code. Given the turnover achieved by the companies concerned, the thresholds provided for in Article 1, paragraph 2, a) and b) of Regulation (EC) No. 139/2004 of the Council of January 20, 2004 are met. Nevertheless, as the companies concerned each generate more than two-thirds of their turnover in France, the operation is not of European dimension. On the other hand,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17-29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