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https://www.autoritedelaconcurrence.fr/fr/decision-de-controle-des-concentrations/relative-la-prise-de-controle-exclusif-des-societes-maudis</w:t>
      </w:r>
    </w:p>
    <w:p>
      <w:r>
        <w:t>Pages translated : 2</w:t>
      </w:r>
    </w:p>
    <w:p/>
    <w:p>
      <w:r>
        <w:rPr>
          <w:b/>
        </w:rPr>
        <w:t>[Pages 1–2]</w:t>
      </w:r>
    </w:p>
    <w:p>
      <w:r>
        <w:t xml:space="preserve">FRENCH REPUBLIC  </w:t>
        <w:br/>
        <w:t xml:space="preserve">Decision No. 20-DCC-23 of February 18, 2020  </w:t>
        <w:br/>
        <w:t xml:space="preserve">regarding the exclusive control acquisition of the companies Maudis and Vizet-Fabre by the company Amidis et Compagnie  </w:t>
        <w:br/>
        <w:t xml:space="preserve">The Competition Authority,  </w:t>
        <w:br/>
        <w:t xml:space="preserve">Having regard to the complete notification file submitted to the mergers department on January 22, 2020, concerning the exclusive control acquisition by the company Amidis et Compagnie of the companies Maudis and Vizet-Fabre formalized by a memorandum of understanding dated January 9,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Amidis et Compagnie, a 100% subsidiary of the Carrefour group, of the companies Maudis and Vizet-Fabre, which operate a retail business predominantly in food under the Carrefour Market brand with a surface area of 2,800 m².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20-015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