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https://www.autoritedelaconcurrence.fr/fr/decision-de-controle-des-concentrations/relative-la-prise-de-controle-exclusif-des-societes-mayotte</w:t>
      </w:r>
    </w:p>
    <w:p>
      <w:r>
        <w:t>Pages translated : 2</w:t>
      </w:r>
    </w:p>
    <w:p/>
    <w:p>
      <w:r>
        <w:rPr>
          <w:b/>
        </w:rPr>
        <w:t>[Pages 1–2]</w:t>
      </w:r>
    </w:p>
    <w:p>
      <w:r>
        <w:t xml:space="preserve">FRENCH REPUBLIC  </w:t>
        <w:br/>
        <w:t xml:space="preserve">Decision No. 19-DCC-11 of January 23, 2019  </w:t>
        <w:br/>
        <w:t xml:space="preserve">regarding the exclusive control acquisition of the companies Mayotte Motor Corporation Distribution and Hamaha Rent by the company Citadelle  </w:t>
        <w:br/>
        <w:t xml:space="preserve">The Competition Authority,  </w:t>
        <w:br/>
        <w:t xml:space="preserve">Having regard to the complete notification file sent to the mergers department on January 7, 2019, concerning the exclusive control acquisition of the companies Mayotte Motor Corporation Distribution (hereinafter, "MMC Distribution") and Hamaha Rent by the company Citadelle, formalized by two share and equity transfer agreements dated November 9, 2018;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the company Citadelle of the companies MMC Distribution and Hamaha Rent. MMC Distribution operates a car dealership for Ford and Citroën brands in the department of Mayotte (976). Hamaha Rent engages in car rental activities there. The notified operation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18-278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