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https://www.autoritedelaconcurrence.fr/fr/decision-de-controle-des-concentrations/relative-la-prise-de-controle-exclusif-des-societes-mepro</w:t>
      </w:r>
    </w:p>
    <w:p>
      <w:r>
        <w:t>Pages translated : 2</w:t>
      </w:r>
    </w:p>
    <w:p/>
    <w:p>
      <w:r>
        <w:rPr>
          <w:b/>
        </w:rPr>
        <w:t>[Pages 1–2]</w:t>
      </w:r>
    </w:p>
    <w:p>
      <w:r>
        <w:t xml:space="preserve">FRENCH REPUBLIC  </w:t>
        <w:br/>
        <w:t xml:space="preserve">Decision No. 14-DCC-40 of March 19, 2014  </w:t>
        <w:br/>
        <w:t xml:space="preserve">regarding the exclusive control acquisition of the companies Mepro, Dacote, and Damelie by the company ITM Entreprises  </w:t>
        <w:br/>
        <w:t xml:space="preserve">The Competition Authority,  </w:t>
        <w:br/>
        <w:t xml:space="preserve">Having regard to the complete notification file submitted to the mergers department on February 26, 2014, concerning the exclusive control acquisition of the companies Mepro, Dacote, and Damelie by the company ITM Entreprises, materialized by a letter exercising the right of preemption dated March 13, 2013, and a draft transfer contract;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Mepro, Dacote, and Damelie, operating in Friville-Escarbotin (80) and Eu (76) retail outlets primarily focused on food under the brands Intermarché and Netto, by the company ITM Entreprises.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14-031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