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https://www.autoritedelaconcurrence.fr/fr/decision-de-controle-des-concentrations/relative-la-prise-de-controle-exclusif-des-societes-milano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23-DCC-176 of August 24, 2023  </w:t>
        <w:br/>
        <w:t xml:space="preserve">regarding the exclusive control acquisition of the companies Milano Automobiles  </w:t>
        <w:br/>
        <w:t xml:space="preserve">and Sodex as well as the business assets held by the company  </w:t>
        <w:br/>
        <w:t xml:space="preserve">Navarre Auto by the Sipa Automobiles group  </w:t>
        <w:br/>
        <w:t xml:space="preserve">The Competition Authority,  </w:t>
        <w:br/>
        <w:t xml:space="preserve">Having regard to the complete notification file sent to the mergers department on August 8, 2023,  </w:t>
        <w:br/>
        <w:t xml:space="preserve">concerning the exclusive control acquisition by the Sipa Automobiles group of the companies Milano  </w:t>
        <w:br/>
        <w:t xml:space="preserve">Automobiles and Sodex as well as the business assets held by the company Navarre Auto,  </w:t>
        <w:br/>
        <w:t xml:space="preserve">formalized by the transfer contract of July 12, 2023;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Having regard to the additional elements transmitted by the notifying party during the investigation;  </w:t>
        <w:br/>
        <w:t xml:space="preserve">Adopts the following decision:  </w:t>
        <w:br/>
        <w:t xml:space="preserve">1. The notified operation consists of the exclusive control acquisition of the companies Milano Automobiles  </w:t>
        <w:br/>
        <w:t xml:space="preserve">and Sodex as well as the business assets held by the company Navarre Auto, which  </w:t>
        <w:br/>
        <w:t xml:space="preserve">operate car dealerships in the departments of Landes (40) and Pyrénées-Atlantiques (64), by the Sipa Automobiles group, which is itself active in the automotive distribution sector. It constitutes a concentration operation within the meaning of Article  </w:t>
        <w:br/>
        <w:t xml:space="preserve">L. 430-1 of the Commercial Code. Given the turnover achieved by the companies  </w:t>
        <w:br/>
        <w:t xml:space="preserve">concerned, the operation does not fall under the jurisdiction of the European Union. On the other hand,  </w:t>
        <w:br/>
        <w:t xml:space="preserve">the retail control thresholds mentioned in II of Article L. 430-2 of the  </w:t>
        <w:br/>
        <w:t xml:space="preserve">Commercial Code are exceeded. This operation is therefore subject to the provisions of  </w:t>
        <w:br/>
        <w:t xml:space="preserve">Articles L. 430-3 and following of the Commercial Code relating to economic concentration.  </w:t>
        <w:br/>
        <w:t xml:space="preserve">2. In view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23-202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