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https://www.autoritedelaconcurrence.fr/fr/decision-de-controle-des-concentrations/relative-la-prise-de-controle-exclusif-des-societes-monti</w:t>
      </w:r>
    </w:p>
    <w:p>
      <w:r>
        <w:t>Pages translated : 2</w:t>
      </w:r>
    </w:p>
    <w:p/>
    <w:p>
      <w:r>
        <w:rPr>
          <w:b/>
        </w:rPr>
        <w:t>[Pages 1–2]</w:t>
      </w:r>
    </w:p>
    <w:p>
      <w:r>
        <w:t xml:space="preserve">FRENCH REPUBLIC  </w:t>
        <w:br/>
        <w:t xml:space="preserve">Decision No. 21-DCC-270 of December 31, 2021  </w:t>
        <w:br/>
        <w:t xml:space="preserve">regarding the exclusive control acquisition of Monti Automobiles  </w:t>
        <w:br/>
        <w:t xml:space="preserve">and Monti Autos by GCA Investissements  </w:t>
        <w:br/>
        <w:t xml:space="preserve">The Competition Authority,  </w:t>
        <w:br/>
        <w:t xml:space="preserve">Having regard to the complete notification file submitted to the mergers department on  </w:t>
        <w:br/>
        <w:t xml:space="preserve">December 17, 2021, concerning the exclusive control acquisition of Monti Automobiles and  </w:t>
        <w:br/>
        <w:t xml:space="preserve">Monti Autos by GCA Investissements, formalized by a letter of intent dated June 29, 2021, and an amendment dated November 29,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GCA  </w:t>
        <w:br/>
        <w:t xml:space="preserve">Investissements, holding of the GCA group, of Monti Autos and Monti Automobiles, which operate as car dealerships under the Toyota brand in Ajaccio (20), Furiani (20), and Porto-Vecchio (20).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21-294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