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https://www.autoritedelaconcurrence.fr/fr/decision-de-controle-des-concentrations/relative-la-prise-de-controle-exclusif-des-societes-nv</w:t>
      </w:r>
    </w:p>
    <w:p>
      <w:r>
        <w:t>Pages translated : 7</w:t>
      </w:r>
    </w:p>
    <w:p/>
    <w:p>
      <w:r>
        <w:rPr>
          <w:b/>
        </w:rPr>
        <w:t>[Pages 1–3]</w:t>
      </w:r>
    </w:p>
    <w:p>
      <w:r>
        <w:t xml:space="preserve">FRENCH REPUBLIC  </w:t>
        <w:br/>
        <w:t xml:space="preserve">Decision No. 16-DCC-186 of November 30, 2016  </w:t>
        <w:br/>
        <w:t xml:space="preserve">regarding the exclusive control of the companies NV Biscuits Delacre  </w:t>
        <w:br/>
        <w:t>and United Biscuits Industries by GMBF Investissements</w:t>
      </w:r>
    </w:p>
    <w:p>
      <w:r>
        <w:t xml:space="preserve">The Competition Authority,  </w:t>
        <w:br/>
        <w:t xml:space="preserve">Having regard to the notification file submitted in full to the merger service on October 25, 2016,  </w:t>
        <w:br/>
        <w:t xml:space="preserve">regarding the exclusive control of the companies NV Biscuits Delacre and United Biscuits  </w:t>
        <w:br/>
        <w:t xml:space="preserve">Industries by GMBF Investissements, formalized by a share transfer agreement dated  </w:t>
        <w:br/>
        <w:t xml:space="preserve">October 24, 2016;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w:t>
        <w:br/>
        <w:t>1. GMBF Investissements is a limited liability company affiliated with Ferrero International, the parent company of the Ferrero group, with which it is under the same control structure. GMBF Investissements is indeed controlled [confidential]. The Ferrero group is primarily active in the collection, processing, and sale of hazelnuts, the production and marketing of chocolate confectionery, sweet chocolate-based spreads, and sweet confectioneries under the brands Kinder, Duplo, Ferrero Rocher, Mon Chéri, Nutella, or Tic-tac.</w:t>
      </w:r>
    </w:p>
    <w:p>
      <w:r>
        <w:t>2. United Biscuits Industries SAS (hereinafter, "UBI") and NV Biscuits Delacre SA (hereinafter, "NVBD") are subsidiaries of the United Biscuits group, itself owned by the Turkish group Yildiz, active in the food and beverage sector. These two companies manufacture and market biscuits under the brands "Delacre" and "Délichoc".</w:t>
      </w:r>
    </w:p>
    <w:p>
      <w:r>
        <w:t>3. The transaction, formalized by a share transfer agreement dated October 24, 2016, involves the acquisition by GMBF Investissements of the entire capital and voting rights of the companies UBI and NVBD.</w:t>
      </w:r>
    </w:p>
    <w:p>
      <w:r>
        <w:t>4. As it results in the exclusive control of GMBF Investissements over UBI and NVBD, the notified transaction constitutes a concentration within the meaning of Article L. 430-1 of the Commercial Code.</w:t>
      </w:r>
    </w:p>
    <w:p>
      <w:r>
        <w:t>5. The companies concerned together achieve a total turnover excluding taxes worldwide of more than 150 million euros (Ferrero: […] euros for the fiscal year ending August 31, 2015; UBI/NVBD: […] for the fiscal year ending December 31, 2015). Each of these companies has achieved a turnover in France exceeding 50 million euros (Ferrero: […] euros for the fiscal year ending August 31, 2015; UBI/NVBD: […] for the fiscal year ending December 31, 2015). Given these turnover figures and since UBI/NVBD have a turnover exceeding 25 million euros solely in France, the transaction does not fall under the jurisdiction of the European Union. On the other hand, the control thresholds mentioned in point I of Article L. 430-2 of the Commercial Code are exceeded. This transaction is therefore subject to the provisions of Articles L. 430-3 and following of the Commercial Code relating to economic concentration.</w:t>
      </w:r>
    </w:p>
    <w:p>
      <w:r>
        <w:t xml:space="preserve">II. Definition of relevant markets  </w:t>
        <w:br/>
        <w:t>6. The Ferrero group, UBI, and NVBD operate simultaneously in the market for biscuits and industrial pastries (1). The Ferrero group is also active in related markets of chocolate confectionery (2), sweet spreads (3), and, to a lesser extent, sugar confectionery (4).</w:t>
      </w:r>
    </w:p>
    <w:p>
      <w:r>
        <w:t xml:space="preserve">A. THE MARKETS FOR BISCUITS AND INDUSTRIAL PASTRIES  </w:t>
        <w:br/>
        <w:t xml:space="preserve">1. PRODUCT MARKETS  </w:t>
        <w:br/>
        <w:t>7. In the industrial bakery, pastry, and viennoiserie sector (hereinafter, "BVP"), decision-making practice makes a (i) first distinction between bakery (breads and substitutes for bread), viennoiserie (croissants, pain au chocolat, pain aux raisins, turnovers, etc.) and pastry, and (ii) a second distinction between fresh products and frozen products.</w:t>
      </w:r>
    </w:p>
    <w:p>
      <w:r>
        <w:t>8. Within the industrial pastry market, decision-making practice has considered four different segmentations: (i) between industrial biscuits and long-life pastries, due to low substitutability on both the supply and demand sides, (ii) based on the type of recipes or specialties chosen for biscuit manufacturing, (iii) according to the distribution channel, notably distinguishing products intended for out-of-home catering (hereinafter, "RHD") and products sold in large and medium-sized retail outlets (hereinafter, "GMS"), and (iv) within GMS, based on the commercial positioning of the products, between products sold under private label (MDD) or under budget brand (MPP) and products sold under brand name.</w:t>
      </w:r>
    </w:p>
    <w:p>
      <w:r>
        <w:t>9. In this case, the question of the precise delimitation of these markets can be left open as the conclusions of the competitive analysis remain unchanged regardless of the segmentation chosen.</w:t>
      </w:r>
    </w:p>
    <w:p>
      <w:r>
        <w:t xml:space="preserve">2. GEOGRAPHICAL MARKET  </w:t>
        <w:br/>
        <w:t>10. Competition authorities traditionally consider that the markets for industrial bakery, viennoiserie, and pastry have a national dimension. Consumer preferences, tastes, and habits, price differences, variations in market shares of operators in different countries, and the strong presence of national brands justify this delimitation.</w:t>
      </w:r>
    </w:p>
    <w:p>
      <w:r>
        <w:t xml:space="preserve">B. THE MARKET FOR CHOCOLATE CONFECTIONERY  </w:t>
        <w:br/>
        <w:t xml:space="preserve">1. PRODUCT MARKETS  </w:t>
        <w:br/>
        <w:t>11. Competition authorities distinguish the market for chocolate confectionery from that of sugar confectionery.</w:t>
      </w:r>
    </w:p>
    <w:p>
      <w:r>
        <w:t>12. Within the chocolate confectionery market, decision-making practice operates a segmentation by type of products. National decision-making practice thus distinguishes the market for bars, the market for pralines, the market for chocolate rocks, and the market for boxed chocolate confectioneries. The European Commission, for its part, distinguishes between chocolate bars, chocolate tablets, and pralines. National decision-making practice has also considered, while leaving the question open, a segmentation between permanent products and seasonal products.</w:t>
      </w:r>
    </w:p>
    <w:p>
      <w:r>
        <w:rPr>
          <w:b/>
        </w:rPr>
        <w:t>[Pages 4–6]</w:t>
      </w:r>
    </w:p>
    <w:p>
      <w:r>
        <w:t>13. The question of segmenting the chocolate confectionery market based on the distribution channel has also arisen. Chocolate confectioneries are distributed through four distribution channels: (i) large retail chains (GMS), (ii) out-of-home catering (RHD), which also includes non-specialized bakery-pastry shops, (iii) merchants specialized in chocolate, and (iv) artisan chocolatiers. Specialized merchants or artisan chocolatiers produce the products themselves, which they then resell to the final consumer. Only the GMS and RHD are therefore likely to be supplied by Ferrero. These two categories represent respectively […]% and […]% of Ferrero group's chocolate confectionery sales. Regarding the RHD, Ferrero does not conduct any direct sales to non-specialized bakery-pastry shops, and its clientele consists exclusively of wholesalers.</w:t>
      </w:r>
    </w:p>
    <w:p>
      <w:r>
        <w:t>14. Finally, the decision-making practice has considered a segmentation of the chocolate confectionery market sold in GMS based on the commercial positioning of the product. It has thus distinguished products sold under MDF from those sold under MDD/MPP, emphasizing that this distinction is justified by the existence of well-known brands, which incur significant advertising expenses, and by supply modalities that diverge according to the commercial positioning of the products (MDF, MDD/MPP).</w:t>
      </w:r>
    </w:p>
    <w:p>
      <w:r>
        <w:t>15. In this case, the question of the precise delimitation of these markets can be left open insofar as the conclusions of the competitive analysis remain unchanged regardless of the segmentation adopted.</w:t>
      </w:r>
    </w:p>
    <w:p>
      <w:r>
        <w:t>2. GEOGRAPHICAL MARKET</w:t>
      </w:r>
    </w:p>
    <w:p>
      <w:r>
        <w:t>16. The national and European competition authorities have, while leaving the question open, analyzed the chocolate confectionery markets at the national level. The national decision-making practice relies notably on differences in manufacturing recipes, quality standards, presentation, and sometimes brands according to the countries.</w:t>
      </w:r>
    </w:p>
    <w:p>
      <w:r>
        <w:t>C. THE MARKET FOR SWEET SPREADS</w:t>
      </w:r>
    </w:p>
    <w:p>
      <w:r>
        <w:t>1. PRODUCT MARKETS</w:t>
      </w:r>
    </w:p>
    <w:p>
      <w:r>
        <w:t>17. On the occasion of the Heinz/CSM transaction, the European Commission questioned the relevance of a distinction within spreads based on their packaging and taste. Regarding the first distinction considered, it was noted that individual packaging and standard packaging appeared substitutable. Regarding the second, the Commission highlighted that some respondents to the market test it conducted in the context of this transaction deemed it relevant to distinguish sweet spreads from savory spreads. However, it left the question open.</w:t>
      </w:r>
    </w:p>
    <w:p>
      <w:r>
        <w:t>18. In the Ferrero International/Oltan Group decision of September 12, 2014, the Commission considered an additional segmentation between chocolate-based spreads (such as Nutella) and other sweet spreads (such as jam, marmalade, honey, peanut butter, etc.). However, the question was left open, as the Commission considered that the results of the market test were inconclusive.</w:t>
      </w:r>
    </w:p>
    <w:p>
      <w:r>
        <w:t>19. In this case, the question of the precise delimitation of these markets can also remain open insofar as the conclusions of the competitive analysis remain unchanged regardless of the segmentation adopted.</w:t>
      </w:r>
    </w:p>
    <w:p>
      <w:r>
        <w:t>2. GEOGRAPHICAL MARKET</w:t>
      </w:r>
    </w:p>
    <w:p>
      <w:r>
        <w:t>20. The Commission, while leaving the question open, analyzed the market for sweet spreads at the national level. The Commission notably took into account the differences in taste between Member States, the existence of distinct negotiations by country for the distribution of products, and the fact that product prices are determined by manufacturers at the national level.</w:t>
      </w:r>
    </w:p>
    <w:p>
      <w:r>
        <w:t>D. THE MARKET FOR SUGAR CONFECTIONERY</w:t>
      </w:r>
    </w:p>
    <w:p>
      <w:r>
        <w:t>1. PRODUCT MARKETS</w:t>
      </w:r>
    </w:p>
    <w:p>
      <w:r>
        <w:t>21. Within the sugar confectionery market, national decision-making practice distinguishes based on distribution channels. It thus retains two distinct markets for GMS (short channel) and small retailers (bakeries-confectioneries, grocery stores, tobacco shops, service stations...), which are supplied through wholesalers (long channel). This distinction is based notably on the difference in the types of actors involved in the logistics chain, resale prices to consumers, and consumer behavior according to the distribution channel.</w:t>
      </w:r>
    </w:p>
    <w:p>
      <w:r>
        <w:t>22. Within each of these channels, national decision-making practice has also segmented the market by type of products: bagged products, pocket confectionery, and gums. It justified this distinction notably due to the disparity in consumer demand in terms of product, packaging (volumes are most often packaged in units of 90 grams in pocket versus units of approximately 300 to 350 grams in bags), and type of purchase (impulse purchases or not).</w:t>
      </w:r>
    </w:p>
    <w:p>
      <w:r>
        <w:t>23. The Commission has also considered a segmentation of the sugar confectionery market by type of products: hard candies, gums, and other candies. However, it left this question open.</w:t>
      </w:r>
    </w:p>
    <w:p>
      <w:r>
        <w:t>24. In this case, the question of the precise delimitation of these markets can also be left open in the present case insofar as the conclusions of the competitive analysis remain unchanged regardless of the segmentation adopted.</w:t>
      </w:r>
    </w:p>
    <w:p>
      <w:r>
        <w:t>2. GEOGRAPHICAL MARKET</w:t>
      </w:r>
    </w:p>
    <w:p>
      <w:r>
        <w:t>25. The national and European competition authorities have considered that the sugar confectionery markets are of national dimension. The Commission notably emphasized the importance of national brands despite the growing development of international brands, the differences in market shares of operators from one country to another, and the fact that product prices are determined by manufacturers at the national level.</w:t>
      </w:r>
    </w:p>
    <w:p>
      <w:r>
        <w:t>III. THE COMPETITIVE ANALYSIS</w:t>
      </w:r>
    </w:p>
    <w:p>
      <w:r>
        <w:t>26. The notified transaction is not likely to harm competition through horizontal effects. The activities of the parties only overlap in the biscuit market, where their combined market share is below [10-20]%, regardless of the segmentation adopted. Mondelez, which represents over 40% of biscuit sales in France and whose market share can reach over 60% in certain markets, will remain the sector leader. The new entity will also face competition from Saint Michel Biscuits, United Biscuits, Lotus, or Kellogs.</w:t>
      </w:r>
    </w:p>
    <w:p>
      <w:r>
        <w:t>27. The transaction also does not entail vertical effects because, although the Ferrero group is present in the hazelnut supply market, which is upstream of the biscuit markets in which UBI and NVBD are present, the notifying parties indicated that the target companies do not use hazelnuts in the manufacture of their products. The transaction will therefore not strengthen the vertical integration of the new entity.</w:t>
      </w:r>
    </w:p>
    <w:p>
      <w:r>
        <w:t>28. However, it is necessary to examine the risks of conglomerate effects related to the connection of the markets in which the parties are active: chocolate confectionery, sweet spreads, and sugar confectionery for the acquirer, and industrial biscuits for the target companies.</w:t>
      </w:r>
    </w:p>
    <w:p>
      <w:r>
        <w:t>29. A concentration can indeed lead to conglomerate effects when the new entity extends or strengthens its presence in markets that are connected to other markets in which it holds market power. Certain conglomerate concentrations can produce restrictive competition effects when they allow to link, technically or commercially, the sales of the new entity's products in a way that locks the market and excludes competitors.</w:t>
      </w:r>
    </w:p>
    <w:p>
      <w:r>
        <w:t>30. The guidelines of the Competition Authority indicate that it is unlikely that a concentration will lead to a risk of conglomerate effect if the new entity does not have a strong position in a market from which it can leverage and refer, in this regard, to a threshold of 30% market share.</w:t>
      </w:r>
    </w:p>
    <w:p>
      <w:r>
        <w:t>31. As previously indicated, the new entity will hold a market share of less than [10-20]% in the biscuit market, regardless of the segmentation adopted. Customers surveyed in the context of the market test, whether they are GMS operators or RHD, also indicated that the parties do not hold any essential brands in this market. It is therefore unlikely that the new entity can use its position in the biscuit market to leverage any effect.</w:t>
      </w:r>
    </w:p>
    <w:p>
      <w:r>
        <w:rPr>
          <w:b/>
        </w:rPr>
        <w:t>[Pages 7–7]</w:t>
      </w:r>
    </w:p>
    <w:p>
      <w:r>
        <w:t>32. In contrast, the Ferrero group holds strong positions in these historical markets, with a market share reaching nearly [60-70]% for chocolate-based spread products. It also owns well-known brands, such as Kinder and Nutella, which are particularly sought after by distributors and could serve as leverage for the new entity to increase its biscuit sales, notably through tied or bundled sales.</w:t>
      </w:r>
    </w:p>
    <w:p>
      <w:r>
        <w:t>33. Nevertheless, the investigation has shown that the implementation of such a strategy is unlikely.</w:t>
      </w:r>
    </w:p>
    <w:p>
      <w:r>
        <w:t>34. First, buyers, whether in GMS or RHD, indicate that the products sold by the Ferrero group and the target companies fall into different categories that generally subject to separate agreements. In the context of these negotiations, the practice of the Ferrero group is to grant no discounts for the purchase of multiple product categories, which are developed and marketed separately within the group. This practice was confirmed during the launch of the B-ready biscuit at the beginning of 2016.</w:t>
      </w:r>
    </w:p>
    <w:p>
      <w:r>
        <w:t>35. Second, buyers emphasize that the products sold by UBI and NVBD are in direct competition with those sold by Mondelez, but not much with those sold by other biscuit manufacturers. The latter should therefore be little impacted by the transaction and any potential tied sales strategy from Ferrero. As for Mondelez, given its position in the biscuit market, the breadth of its range, and the notoriety of its brands (Lu, Prince, Mikado, Milka, Hollywood, etc.), it could easily deploy effective counter-strategies.</w:t>
      </w:r>
    </w:p>
    <w:p>
      <w:r>
        <w:t>36. Third, the counter-power of buyers in large retail and RHD must be taken into account. GMS and wholesalers in RHD hold significant purchasing power, which is likely to counterbalance the effect of holding an expanded range for the new entity. In a bid to diversify their sources of supply, the rise of Ferrero in biscuits is perceived by buyers as an opportunity to challenge the established positions of the market leader, Mondelez.</w:t>
      </w:r>
    </w:p>
    <w:p>
      <w:r>
        <w:t>37. Given these elements, the transaction is not likely to harm competition through conglomerate effects.</w:t>
      </w:r>
    </w:p>
    <w:p>
      <w:r>
        <w:t>DECIDES</w:t>
        <w:br/>
        <w:t>Sole Article: The transaction notified under number 16-148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