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https://www.autoritedelaconcurrence.fr/fr/decision-de-controle-des-concentrations/relative-la-prise-de-controle-exclusif-des-societes-olys-et</w:t>
      </w:r>
    </w:p>
    <w:p>
      <w:r>
        <w:t>Pages translated : 2</w:t>
      </w:r>
    </w:p>
    <w:p/>
    <w:p>
      <w:r>
        <w:rPr>
          <w:b/>
        </w:rPr>
        <w:t>[Pages 1–2]</w:t>
      </w:r>
    </w:p>
    <w:p>
      <w:r>
        <w:t>FRENCH REPUBLIC</w:t>
        <w:br/>
        <w:t>Decision No. 17-DCC-227 of December 22, 2017</w:t>
        <w:br/>
        <w:t>regarding the exclusive control acquisition of the companies Olys and Synopsis by</w:t>
        <w:br/>
        <w:t>the company Groupe LDLC</w:t>
        <w:br/>
        <w:t>The Competition Authority,</w:t>
        <w:br/>
        <w:t>Having regard to the complete notification file submitted to the mergers department on</w:t>
        <w:br/>
        <w:t>November 27, 2017, concerning the exclusive control acquisition of the companies Olys and Synopsis by the</w:t>
        <w:br/>
        <w:t>company Groupe LDLC, formalized by a share purchase agreement dated October 16, 2017;</w:t>
        <w:br/>
        <w:t>Having regard to Book IV of the Commercial Code relating to the freedom of prices and competition, and</w:t>
        <w:br/>
        <w:t>notably its Articles L. 430-1 to L. 430-7;</w:t>
        <w:br/>
        <w:t>Having regard to the additional elements provided by the notifying party during the investigation;</w:t>
        <w:br/>
        <w:t>Adopts the following decision:</w:t>
        <w:br/>
        <w:t>1. The notified operation consists of the exclusive control acquisition by the company Groupe LDLC of</w:t>
        <w:br/>
        <w:t>the companies Olys and Synopsis, which are primarily active in the wholesale and retail distribution of</w:t>
        <w:br/>
        <w:t>computer products and services and telephony products. It constitutes a concentration within the meaning of Article L. 430-1 of the Commercial Code.</w:t>
        <w:br/>
        <w:t>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The markets concerned by the operation are those of the provision of IT services, the supply of household appliances, the wholesale distribution of computer products, and the retail distribution of household appliances. These markets are consistently defined by the decision-making practice of the Competition Authority.</w:t>
        <w:br/>
        <w:t>3. Regardless of the segmentations retained, the cumulative market shares of the parties are</w:t>
        <w:br/>
        <w:t>below 25%.</w:t>
        <w:br/>
        <w:t>4. Considering the elements of the file and in particular point 384 of the guidelines of the</w:t>
        <w:br/>
        <w:t>Competition Authority relating to the control of concentrations, the operation is not likely to harm competition.</w:t>
      </w:r>
    </w:p>
    <w:p>
      <w:r>
        <w:t>DECIDES</w:t>
        <w:br/>
        <w:t>Sole Article: The operation notified under number 17-262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