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https://www.autoritedelaconcurrence.fr/fr/decision-de-controle-des-concentrations/relative-la-prise-de-controle-exclusif-des-societes-orange</w:t>
      </w:r>
    </w:p>
    <w:p>
      <w:r>
        <w:t>Pages translated : 2</w:t>
      </w:r>
    </w:p>
    <w:p/>
    <w:p>
      <w:r>
        <w:rPr>
          <w:b/>
        </w:rPr>
        <w:t>[Pages 1–2]</w:t>
      </w:r>
    </w:p>
    <w:p>
      <w:r>
        <w:t xml:space="preserve">FRENCH REPUBLIC  </w:t>
        <w:br/>
        <w:t xml:space="preserve">Decision No. 18-DCC-40 of March 21, 2018  </w:t>
        <w:br/>
        <w:t xml:space="preserve">regarding the exclusive control acquisition of the companies Orange Service Automobile SAS and Vauclusienne d’automobiles SAS by the company Grands Garages du Pas-de-Calais SAS  </w:t>
        <w:br/>
        <w:t xml:space="preserve">The Competition Authority,  </w:t>
        <w:br/>
        <w:t xml:space="preserve">Having regard to the complete notification file submitted to the mergers department on February 21, 2018, concerning the exclusive control acquisition of the companies Orange Service Automobile SAS and Vauclusienne d’automobiles SAS by the company Grands Garages du Pas-de-Calais SAS, and materialized by the lifting of a promise to resell shares dated February 2,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Grands Garages du Pas-de-Calais SAS of the companies Orange Service Automobile SAS and Vauclusienne d’automobiles SAS, which operate respectively a car dealership for Renault and Dacia brands in Carpentras (84) and Orange (84).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18-024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