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https://www.autoritedelaconcurrence.fr/fr/decision-de-controle-des-concentrations/relative-la-prise-de-controle-exclusif-des-societes-orthaly</w:t>
      </w:r>
    </w:p>
    <w:p>
      <w:r>
        <w:t>Pages translated : 5</w:t>
      </w:r>
    </w:p>
    <w:p/>
    <w:p>
      <w:r>
        <w:rPr>
          <w:b/>
        </w:rPr>
        <w:t>[Pages 1–3]</w:t>
      </w:r>
    </w:p>
    <w:p>
      <w:r>
        <w:t xml:space="preserve">FRENCH REPUBLIC  </w:t>
        <w:br/>
        <w:t xml:space="preserve">Decision No. 17-DCC-166 of October 12, 2017  </w:t>
        <w:br/>
        <w:t xml:space="preserve">regarding the exclusive control of the companies Orthaly and Yvalor  </w:t>
        <w:br/>
        <w:t>by the company U Enseigne</w:t>
      </w:r>
    </w:p>
    <w:p>
      <w:r>
        <w:t xml:space="preserve">The Competition Authority,  </w:t>
        <w:br/>
        <w:t xml:space="preserve">Having regard to the notification file submitted in full to the merger service on September 8, 2017, regarding the exclusive control by the company U Enseigne of the companies Orthaly and Yvalor, formalized by a promise to transfer shares dated July 13, 2017;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U Enseigne is a cooperative public limited company owned by the regional central cooperative companies of the Système U group and their directors, individuals. Its purpose is notably to purchase goods from suppliers and resell them to its independent merchant associates, each owning their store, who operate stores under the brands Hyper U, Super U, Marché U, Express U, and Utile.  </w:t>
        <w:br/>
        <w:t xml:space="preserve">2. Yvalor is the holding company of [confidential]. It holds the company Orthaly, which operates a retail business predominantly selling food with a sales area of 4,200 m² under the Super U brand since July 12, 20171, located in the city of Orthez (64). The company Orthaly is a member of the Système U Regional Central Cooperative South.  </w:t>
        <w:br/>
        <w:t xml:space="preserve">3. The operation consists of the acquisition of all the shares of the companies Yvalor and Orthaly. As it results in the exclusive control by the company U Enseigne of the companies Yvalor and Orthaly, the notified operation constitutes a concentration within the meaning of Article L. 430-1 of the Commercial Code.  </w:t>
        <w:br/>
        <w:t>1 The point of sale was operated under the Intermarché brand before this date.</w:t>
      </w:r>
    </w:p>
    <w:p>
      <w:r>
        <w:t>4. The companies concerned operate several retail stores and together achieve a total worldwide turnover of more than 75 million euros (U Enseigne: 830 million euros for the fiscal year ending December 31, 2016; Orthaly: 27 million euros for the same fiscal year). At least two of the companies concerned achieved a turnover in France exceeding 15 million euros (U Enseigne: 830 million euros for the fiscal year ending December 31, 2016; Orthaly: 27 million euros for the same fiscal year). Given these turnovers,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5. According to the consistent practice of national and European competition authorities, two categories of markets can be defined in the food retail sector2. These are, on the one hand, the "upstream" markets for supplying retail businesses with consumer goods and, on the other hand, the "downstream" markets that bring together retail businesses and consumers for the sale of consumer goods.</w:t>
      </w:r>
    </w:p>
    <w:p>
      <w:r>
        <w:t xml:space="preserve">A. UPSTREAM SUPPLY MARKETS  </w:t>
        <w:br/>
        <w:t xml:space="preserve">6. Regarding supply markets, the European Commission and national competition authorities have recognized the existence of markets of national dimension by major product groups3.  </w:t>
        <w:br/>
        <w:t>7. There is no reason to challenge this definition in the context of the present operation.</w:t>
      </w:r>
    </w:p>
    <w:p>
      <w:r>
        <w:t xml:space="preserve">B. DOWNSTREAM DISTRIBUTION MARKETS  </w:t>
        <w:br/>
        <w:t xml:space="preserve">1. PRODUCT MARKETS  </w:t>
        <w:br/>
        <w:t xml:space="preserve">8. Regarding the retail sale of consumer goods, both European and national competition authorities have distinguished six categories of trade using several criteria, including store size, sales techniques, accessibility, the nature of the service provided, and the range of products offered: (i) hypermarkets, (ii) supermarkets, (iii) specialized trade, (iv) small retail trade, (v) discount stores, and (vi) mail order sales4.  </w:t>
        <w:br/>
        <w:t xml:space="preserve">9. Hypermarkets are usually defined as food-dominant stores with a sales area equal to or greater than 2,500 m², supermarkets as food-dominant stores with a sales area less than 2,500 m² and greater than 400 m², and mini-markets as food-dominant stores with a sales area less than 400 m² and greater than 120 m²5. These thresholds should, however, be used with caution and may be adapted to the specific case, insofar as stores with an area close to a threshold (below or above) may find themselves in direct competition6.  </w:t>
        <w:br/>
        <w:t xml:space="preserve">10. Competition authorities also consider that, while each category of store retains its specificity, there is asymmetric competition between some of these categories. Indeed, a hypermarket may typically be used by some consumers as a convenience store, substituting for a supermarket. Conversely, the reverse is almost never verified and is even less so as the size of the hypermarket in question is significant. Consequently, if the target store is a hypermarket, the analysis is conducted on a market including only hypermarkets, on the one hand, and on a market including supermarkets and equivalent forms of commerce (hypermarkets, hard discount, and popular stores) excluding small retail trade (less than 400 m²), on the other hand7. If the target store is a supermarket, the analysis is conducted only on the second type of market mentioned above.  </w:t>
        <w:br/>
        <w:t>11. In this case, the target business has a sales area of 4,200 m². It therefore falls into the category of hypermarkets.</w:t>
      </w:r>
    </w:p>
    <w:p>
      <w:r>
        <w:t xml:space="preserve">2. GEOGRAPHICAL DEFINITION  </w:t>
        <w:br/>
        <w:t xml:space="preserve">12. In its decisions regarding operations involving hypermarkets or supermarkets, the Competition Authority has recalled that two types of markets are usually distinguished, based on catchment areas8:  </w:t>
        <w:br/>
        <w:t xml:space="preserve">- a first market where the demand from consumers in an area meets the supply of hypermarkets that they can access within less than 30 minutes of driving and which are, from their perspective, substitutable for one another;  </w:t>
        <w:br/>
        <w:t xml:space="preserve">- a second market where the demand from consumers meets the supply of supermarkets and equivalent forms of commerce, located within less than 15 minutes of driving time. These latter forms of commerce may include, in addition to supermarkets, hypermarkets located near consumers and discount stores.  </w:t>
        <w:br/>
        <w:t xml:space="preserve">13. Other criteria may, however, be taken into account to assess the impact of a concentration on the competitive situation in retail distribution markets, which may lead to refining, in the specific case, the usual definitions presented above.  </w:t>
        <w:br/>
        <w:t xml:space="preserve">4 Ibid.  </w:t>
        <w:br/>
        <w:t xml:space="preserve">5 See for example the decision of the Competition Authority No. 12-DCC-112 of August 3, 2012, regarding the exclusive control of the company SNC Schlecker by the company Système U Centrale Régionale Sud.  </w:t>
        <w:br/>
        <w:t xml:space="preserve">6 See in particular the opinion of the Competition Council No. 00-A-06 of May 3, 2000, regarding the acquisition by the company Carrefour of the company Promodès.  </w:t>
        <w:br/>
        <w:t xml:space="preserve">7 See decisions No. 12-DCC-48, No. 12-DCC-63, and No. 13-DCC-90 cited above.  </w:t>
        <w:br/>
        <w:t>8 Ibid.</w:t>
      </w:r>
    </w:p>
    <w:p>
      <w:r>
        <w:rPr>
          <w:b/>
        </w:rPr>
        <w:t>[Pages 4–5]</w:t>
      </w:r>
    </w:p>
    <w:p>
      <w:r>
        <w:t>14. In the present case, the target business, falling into the category of hypermarkets, the competitive analysis will be conducted, on the one hand, on the market including hypermarkets, supermarkets, and equivalent forms of commerce located within a 15-minute driving radius around the target business and, on the other hand, on the market including only hypermarkets within a 30-minute radius.</w:t>
      </w:r>
    </w:p>
    <w:p>
      <w:r>
        <w:t>III. Competitive Analysis</w:t>
      </w:r>
    </w:p>
    <w:p>
      <w:r>
        <w:t>15. In the upstream supply markets, the operation is not likely to strengthen the purchasing power of the Système U group, across all products or by major product group, insofar as the target business represents a negligible weight at the national level.</w:t>
      </w:r>
    </w:p>
    <w:p>
      <w:r>
        <w:t>16. In the downstream food distribution market including supermarkets and equivalent forms of commerce located within a 15-minute driving area, the Système U group will hold [30-40]% of the sales areas in the zone ([20-30]% for the target companies).</w:t>
      </w:r>
    </w:p>
    <w:p>
      <w:r>
        <w:t>17. The stores under the Système U brand in the catchment area will, however, face competition from several other points of sale, notably under the Leclerc brand ([40-50]%), Lidl ([5-10]%), Casino ([5-10]%), Aldi ([5-10]%), and Intermarché ([0-5]%).</w:t>
      </w:r>
    </w:p>
    <w:p>
      <w:r>
        <w:t>18. In the downstream food distribution market including hypermarkets located within a 30-minute driving area, the Système U group will hold [10-20]% of the sales areas in the zone. The operation does not create any overlap of activities insofar as the target business is the only hypermarket under the U brand in this area9.</w:t>
      </w:r>
    </w:p>
    <w:p>
      <w:r>
        <w:t>19. The new entity will also face competition from several competing hypermarkets, under the Leclerc brand ([40-50]%), Casino ([20-30]%), and Intermarché ([10-20]%).</w:t>
      </w:r>
    </w:p>
    <w:p>
      <w:r>
        <w:t>20. Consequently, the operation is not likely to harm competition in the relevant markets.</w:t>
      </w:r>
    </w:p>
    <w:p>
      <w:r>
        <w:t>9 On June 30, 2017, a CDAC authorization was granted for the construction of a new hypermarket under the U brand, located in Artix (64). The consideration of this point of sale does not change the conclusions of the competitive analysis: the Système U group would hold [10-20]% of the sales areas.</w:t>
      </w:r>
    </w:p>
    <w:p>
      <w:r>
        <w:t>DECIDES</w:t>
      </w:r>
    </w:p>
    <w:p>
      <w:r>
        <w:t>Sole Article: The operation notified under number 17-190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