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https://www.autoritedelaconcurrence.fr/fr/decision-de-controle-des-concentrations/relative-la-prise-de-controle-exclusif-des-societes-ouest-0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22-DCC-118 of July 5, 2022  </w:t>
        <w:br/>
        <w:t xml:space="preserve">regarding the exclusive control acquisition of the companies Ouest Agri and  </w:t>
        <w:br/>
        <w:t xml:space="preserve">Traitement Pompage Irrigation by the BPM group  </w:t>
        <w:br/>
        <w:t xml:space="preserve">The Competition Authority,  </w:t>
        <w:br/>
        <w:t xml:space="preserve">Having regard to the notification file sent to the mergers department on May 20, 2022, declared  </w:t>
        <w:br/>
        <w:t xml:space="preserve">complete on June 20, 2022, concerning the exclusive control acquisition of the companies Ouest Agri and  </w:t>
        <w:br/>
        <w:t xml:space="preserve">Traitement Pompage Irrigation ("TPI") by the company BPM Agri, a subsidiary of the BPM group,  </w:t>
        <w:br/>
        <w:t xml:space="preserve">formalized by a letter of intent dated March 21,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companies Ouest Agri and TPI,  </w:t>
        <w:br/>
        <w:t xml:space="preserve">active in the agricultural equipment sector in the departments of Loire-Atlantique (44),  </w:t>
        <w:br/>
        <w:t xml:space="preserve">Deux-Sèvres (79), and Vendée (85), by the BPM group, primarily active in the  </w:t>
        <w:br/>
        <w:t xml:space="preserve">automotive distribution sector.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22-121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