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https://www.autoritedelaconcurrence.fr/fr/decision-de-controle-des-concentrations/relative-la-prise-de-controle-exclusif-des-societes-ouest</w:t>
      </w:r>
    </w:p>
    <w:p>
      <w:r>
        <w:t>Pages translated : 2</w:t>
      </w:r>
    </w:p>
    <w:p/>
    <w:p>
      <w:r>
        <w:rPr>
          <w:b/>
        </w:rPr>
        <w:t>[Pages 1–2]</w:t>
      </w:r>
    </w:p>
    <w:p>
      <w:r>
        <w:t xml:space="preserve">FRENCH REPUBLIC  </w:t>
        <w:br/>
        <w:t xml:space="preserve">Decision No. 19-DCC-62 of April 9, 2019  </w:t>
        <w:br/>
        <w:t xml:space="preserve">regarding the exclusive control acquisition of the companies Ouest Automobiles Chartraine, Dreux Automobiles, and Houdan Automobiles by the company Claro Automobiles (Dubreuil group)  </w:t>
        <w:br/>
        <w:t xml:space="preserve">The Competition Authority,  </w:t>
        <w:br/>
        <w:t xml:space="preserve">Having regard to the complete notification file sent to the mergers department on March 5, 2019, concerning the exclusive control acquisition of the companies Ouest Automobiles Chartraine, Dreux Automobiles, and Houdan Automobiles by the company Claro Automobiles, formalized by a letter of intent dated January 28,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Claro Automobiles (Dubreuil group) of the companies Ouest Automobiles Chartraine, Dreux Automobiles, and Houdan Automobiles, which operate two car dealerships for the brands Opel and Mitsubishi in the department of Eure-et-Loir (28) and one car dealership for the brand Opel in the department of Yvelines.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19-064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