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https://www.autoritedelaconcurrence.fr/fr/decision-de-controle-des-concentrations/relative-la-prise-de-controle-exclusif-des-societes-p</w:t>
      </w:r>
    </w:p>
    <w:p>
      <w:r>
        <w:t>Pages translated : 2</w:t>
      </w:r>
    </w:p>
    <w:p/>
    <w:p>
      <w:r>
        <w:rPr>
          <w:b/>
        </w:rPr>
        <w:t>[Pages 1–2]</w:t>
      </w:r>
    </w:p>
    <w:p>
      <w:r>
        <w:t xml:space="preserve">FRENCH REPUBLIC  </w:t>
        <w:br/>
        <w:t xml:space="preserve">Decision No. 18-DCC-101 of June 20, 2018  </w:t>
        <w:br/>
        <w:t xml:space="preserve">regarding the exclusive control acquisition of the companies P. Bugnot and SAGA  </w:t>
        <w:br/>
        <w:t xml:space="preserve">by the company Metin Holding  </w:t>
        <w:br/>
        <w:t>The Competition Authority,</w:t>
      </w:r>
    </w:p>
    <w:p>
      <w:r>
        <w:t xml:space="preserve">Having regard to the complete notification file sent to the mergers department on May 22, 2018,  </w:t>
        <w:br/>
        <w:t>concerning the exclusive control acquisition of the companies P. Bugnot and Société Automobiles Garage de l’Alma ("SAGA") by the company Metin Holding, and formalized by two share transfer agreements dated May 2, 2018;</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acquisition by the company Metin Holding, belonging to the Gueudet group, of the companies P. Bugnot and SAGA, which each operate a car dealership for Citroën-DS brands, respectively in the departments of Seine-Saint-Denis (93) and Val-de-Marne (94).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18-109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