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https://www.autoritedelaconcurrence.fr/fr/decision-de-controle-des-concentrations/relative-la-prise-de-controle-exclusif-des-societes-parot</w:t>
      </w:r>
    </w:p>
    <w:p>
      <w:r>
        <w:t>Pages translated : 2</w:t>
      </w:r>
    </w:p>
    <w:p/>
    <w:p>
      <w:r>
        <w:rPr>
          <w:b/>
        </w:rPr>
        <w:t>[Pages 1–2]</w:t>
      </w:r>
    </w:p>
    <w:p>
      <w:r>
        <w:t xml:space="preserve">FRENCH REPUBLIC  </w:t>
        <w:br/>
        <w:t xml:space="preserve">Decision No. 20-DCC-19 of February 12, 2020  </w:t>
        <w:br/>
        <w:t xml:space="preserve">regarding the exclusive control acquisition of the companies Parot Premium Bordeaux, Parot Premium Brive-la-Gaillarde, and SAS Portes de Bordeaux by the company Edenauto  </w:t>
        <w:br/>
        <w:t xml:space="preserve">The Competition Authority,  </w:t>
        <w:br/>
        <w:t xml:space="preserve">Having regard to the complete notification file sent to the mergers department on January 22, 2020, concerning the exclusive control acquisition by the company Edenauto of the companies Parot Premium Bordeaux, Parot Premium Brive-la-Gaillarde, and SAS Portes de Bordeaux, formalized by a sale agreement dated December 20,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Edenauto of the companies Parot Premium Bordeaux, Parot Premium Brive-la-Gaillarde, and SAS Portes de Bordeaux, which engage in automobile dealership activities under the BMW brand in Brive-la-Gaillarde (19), Bordeaux (33), and Limoges (87), and of the company SAS Portes de Bordeaux, which engages in the holding of real estate for automobile dealership operations.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20-012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