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https://www.autoritedelaconcurrence.fr/fr/decision-de-controle-des-concentrations/relative-la-prise-de-controle-exclusif-des-societes-patrick</w:t>
      </w:r>
    </w:p>
    <w:p>
      <w:r>
        <w:t>Pages translated : 2</w:t>
      </w:r>
    </w:p>
    <w:p/>
    <w:p>
      <w:r>
        <w:rPr>
          <w:b/>
        </w:rPr>
        <w:t>[Pages 1–2]</w:t>
      </w:r>
    </w:p>
    <w:p>
      <w:r>
        <w:t xml:space="preserve">FRENCH REPUBLIC  </w:t>
        <w:br/>
        <w:t xml:space="preserve">Decision No. 18-DCC-34 of March 9, 2018  </w:t>
        <w:br/>
        <w:t xml:space="preserve">regarding the exclusive control acquisition of the companies Patrick Metz S.A and Patrick Metz Jura S.A.S by the company Harmez S.A.S  </w:t>
        <w:br/>
        <w:t xml:space="preserve">The Competition Authority,  </w:t>
        <w:br/>
        <w:t xml:space="preserve">Having regard to the complete notification file submitted to the mergers department on February 8, 2018, concerning the exclusive control acquisition of the companies Patrick Metz S.A. and Patrick Metz Jura S.A.S by the company Harmez S.A.S, and formalized by a letter of intent dated December 22,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Patrick Metz S.A, operating two car dealerships located in Doubs (25) and one car dealership located in the Territoire de Belfort (90) and of the company Patrick Metz Jura S.A.S, operating two car dealerships located in Jura (39), by the company Harmez S.A.S, which is itself active in the automobile distribution markets. It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18-012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