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https://www.autoritedelaconcurrence.fr/fr/decision-de-controle-des-concentrations/relative-la-prise-de-controle-exclusif-des-societes-pemzec</w:t>
      </w:r>
    </w:p>
    <w:p>
      <w:r>
        <w:t>Pages translated : 2</w:t>
      </w:r>
    </w:p>
    <w:p/>
    <w:p>
      <w:r>
        <w:rPr>
          <w:b/>
        </w:rPr>
        <w:t>[Pages 1–2]</w:t>
      </w:r>
    </w:p>
    <w:p>
      <w:r>
        <w:t xml:space="preserve">FRENCH REPUBLIC  </w:t>
        <w:br/>
        <w:t xml:space="preserve">Decision No. 22-DCC-146 of August 2, 2022  </w:t>
        <w:br/>
        <w:t xml:space="preserve">regarding the exclusive control acquisition of companies Pemzec 29 and Pemzec 56 by the company LS Distribution  </w:t>
        <w:br/>
        <w:t xml:space="preserve">The Competition Authority,  </w:t>
        <w:br/>
        <w:t xml:space="preserve">Having regard to the notification file sent to the mergers department on July 7, 2022, declared complete on July 27, 2022, concerning the exclusive control acquisition of companies Pemzec 29 and Pemzec 56 by the company LS Distribution, formalized by a letter of intent dated March 17, 2022;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acquisition of exclusive control of companies Pemzec 29 and Pemzec 56 by the company LS Distribution, active in the automotive distribution sector. The operation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22-172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