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https://www.autoritedelaconcurrence.fr/fr/decision-de-controle-des-concentrations/relative-la-prise-de-controle-exclusif-des-societes-quatro</w:t>
      </w:r>
    </w:p>
    <w:p>
      <w:r>
        <w:t>Pages translated : 5</w:t>
      </w:r>
    </w:p>
    <w:p/>
    <w:p>
      <w:r>
        <w:rPr>
          <w:b/>
        </w:rPr>
        <w:t>[Pages 1–3]</w:t>
      </w:r>
    </w:p>
    <w:p>
      <w:r>
        <w:t xml:space="preserve">FRENCH REPUBLIC  </w:t>
        <w:br/>
        <w:t xml:space="preserve">Decision No. 13-DCC-192 of December 18, 2013  </w:t>
        <w:br/>
        <w:t xml:space="preserve">regarding the exclusive control of the companies Quatro, Tryo,  </w:t>
        <w:br/>
        <w:t xml:space="preserve">Guivar, Guimanda, and Valgui by  </w:t>
        <w:br/>
        <w:t xml:space="preserve">the company ITM Alimentaire Sud Est  </w:t>
        <w:br/>
        <w:t xml:space="preserve">The Competition Authority,  </w:t>
        <w:br/>
        <w:t xml:space="preserve">Having regard to the notification file submitted in full to the merger service on  </w:t>
        <w:br/>
        <w:t xml:space="preserve">November 21, 2013, concerning the acquisition of the companies Quatro, Tryo, Guivar, Guimanda, and  </w:t>
        <w:br/>
        <w:t xml:space="preserve">Valgui by the company ITM Alimentaire Sud Est, as evidenced by a firm letter of intent dated  </w:t>
        <w:br/>
        <w:t xml:space="preserve">November 19, 2013;  </w:t>
        <w:br/>
        <w:t xml:space="preserve">Having regard to Book IV of the Commercial Code relating to the freedom of prices and competition, and  </w:t>
        <w:br/>
        <w:t xml:space="preserve">in particular its Articles L. 430-1 to L. 430-7;  </w:t>
        <w:br/>
        <w:t xml:space="preserve">Having regard to the additional elements provided by the parties during the investigation;  </w:t>
        <w:br/>
        <w:t xml:space="preserve">Adopts the following decision:  </w:t>
        <w:br/>
        <w:t xml:space="preserve">I. The companies concerned and the operation  </w:t>
        <w:br/>
        <w:t xml:space="preserve">1. The company ITM Alimentaire Sud Est is a company governed by French law. It is 99% owned by the company ITM Alimentaire International, which is itself owned by the company ITM  </w:t>
        <w:br/>
        <w:t xml:space="preserve">Enterprises. The company ITM Alimentaire Sud Est has been entrusted by ITM Enterprises  </w:t>
        <w:br/>
        <w:t xml:space="preserve">with the management and development for the southeast region of the network of franchisees operating  </w:t>
        <w:br/>
        <w:t xml:space="preserve">sales outlets under the food brands Intermarché, Ecomarché, and Netto. The company  </w:t>
        <w:br/>
        <w:t xml:space="preserve">ITM Enterprises (hereinafter "ITM"), which is 100% controlled by the civil company of  </w:t>
        <w:br/>
        <w:t xml:space="preserve">Mousquetaires, itself owned by 1,403 individuals known as "associated members," leads and manages the network of independent merchants known as the "Groupement des Mousquetaires." In its capacity as franchisor, the company ITM Enterprises has as its main activity the management of a network of sales outlets, both food and non-food, operated by independent merchants under the following brands:  </w:t>
        <w:br/>
        <w:t xml:space="preserve">Intermarché, Ecomarché, Netto, Restaumarché, Poivre Rouge, Bricomarché, and Roady. This  </w:t>
        <w:br/>
        <w:t xml:space="preserve">management is carried out notably through the signing and monitoring of brand contracts with  </w:t>
        <w:br/>
        <w:t xml:space="preserve">the companies operating these sales outlets. ITM Enterprises also provides its franchisees with various services for prospecting, consulting, training, etc. Finally, it offers  </w:t>
        <w:br/>
        <w:t>franchisees the opportunity to benefit from advantageous supply conditions</w:t>
      </w:r>
    </w:p>
    <w:p>
      <w:r>
        <w:t xml:space="preserve">from its national and regional subsidiaries, as well as from external suppliers referenced outside the "Groupement des Mousquetaires."  </w:t>
        <w:br/>
        <w:t xml:space="preserve">2. The [X] consortium controls the family holding Quatro SAS and four companies operating a  </w:t>
        <w:br/>
        <w:t xml:space="preserve">food-dominant retail outlet under the Intermarché brand: the companies Tryo and Guivar operate retail outlets with an area of 2,200 m² and 880 m² located in Saint-Laurent-du-Var (06), the company Guimanda operates a retail outlet with an area of 1,200 m² located in Gattières (06), and the company Valgui operates a retail outlet with an area of 1,180 m² located in Cagnes-sur-Mer (06).  </w:t>
        <w:br/>
        <w:t xml:space="preserve">3. The notified operation consists of the acquisition by ITM Alimentaire Sud Est of exclusive control over the companies Quatro, Tryo, Guivar, Guimanda, and Valgui currently held by the  </w:t>
        <w:br/>
        <w:t xml:space="preserve">consortium [X]. It constitutes a concentration within the meaning of Article L. 430-1 of the Commercial Code.  </w:t>
        <w:br/>
        <w:t xml:space="preserve">4. The companies concerned operate several retail stores and together achieve a total worldwide turnover of more than 75 million euros (ITM: […] euros of worldwide turnover for the 2012 fiscal year; target companies: […] euros of cumulative turnover for the 2012 fiscal year). The companies concerned achieve in France in the retail sector a turnover exceeding 15 million euros (ITM: […] euros in France for the 2012 fiscal year; the target companies achieve all of their turnover in France). Given the turnover achieved by the companies concerned,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5. According to the consistent practice of national and community competition authorities, two  </w:t>
        <w:br/>
        <w:t xml:space="preserve">categories of markets can be delineated in the food-dominant distribution sector. These are, on the one hand, "downstream" markets, of a local dimension, which bring together retail companies and consumers for the sale of consumer goods and, on the other hand, "upstream" markets for the supply of retail companies with consumer goods, of a national dimension.  </w:t>
        <w:br/>
        <w:t xml:space="preserve">A. DOWNSTREAM MARKETS OF DISTRIBUTION  </w:t>
        <w:br/>
        <w:t xml:space="preserve">1. SERVICE MARKETS  </w:t>
        <w:br/>
        <w:t xml:space="preserve">6. Regarding the retail sale of consumer goods, competition authorities, both community and national, have distinguished six categories of trade using several criteria, including the size of the stores, their sales techniques, their accessibility, the nature of the service provided, and the range of products offered:  </w:t>
        <w:br/>
        <w:t xml:space="preserve">(i) hypermarkets, (ii) supermarkets, (iii) specialized trade, (iv) small retail trade, (v) discount stores, (vi) mail order sales.  </w:t>
        <w:br/>
        <w:t xml:space="preserve">7. Supermarkets are usually defined as food-dominant stores with a legal sales area of less than 2,500 m² and more than 400 m².  </w:t>
        <w:br/>
        <w:t xml:space="preserve">8. In this case, the companies Tryo, Guimanda, Valgui, and Guivar operate four food-dominant distribution outlets with areas of 2,200 m², 1,200 m², 1,180 m², and 880 m². They therefore fall into the category of supermarkets.  </w:t>
        <w:br/>
        <w:t xml:space="preserve">2. GEOGRAPHICAL DELIMITATION  </w:t>
        <w:br/>
        <w:t xml:space="preserve">9. In its recent decisions concerning operations involving hypermarkets or supermarkets, the Competition Authority has reiterated that depending on the size of the stores concerned, the conditions of competition should be assessed in two different areas:  </w:t>
        <w:br/>
        <w:t xml:space="preserve">- a first market where the demand from consumers in an area meets the supply of hypermarkets to which they have access within less than 30 minutes of travel by car and which are, from their point of view, substitutable for each other;  </w:t>
        <w:br/>
        <w:t xml:space="preserve">- a second market where the demand from consumers meets the supply of supermarkets and equivalent retail formats located within 15 minutes of travel time by car. These latter forms of trade may include, in addition to supermarkets, hypermarkets located near consumers and discount stores.  </w:t>
        <w:br/>
        <w:t xml:space="preserve">10. Other criteria may, however, be taken into account to assess the impact of a concentration on the competitive situation in retail distribution markets, which may lead to refining, in the specific case, the usual delimitations presented above.  </w:t>
        <w:br/>
        <w:t xml:space="preserve">11. In this case, the stores concerned falling into the category of supermarkets, the competitive analysis will be conducted solely on the market including supermarkets, hypermarkets, and proximity stores and discount stores located within a 15-minute radius around the four food-dominant distribution outlets under the Intermarché brand concerned.  </w:t>
        <w:br/>
        <w:t xml:space="preserve">B. UPSTREAM SUPPLY MARKETS  </w:t>
        <w:br/>
        <w:t xml:space="preserve">12. Regarding supply markets, the European Commission has recognized the existence of national dimension markets by major product groups, a delimitation followed by national authorities.  </w:t>
        <w:br/>
        <w:t>13. There is no need to challenge this delimitation in the context of the present operation.</w:t>
      </w:r>
    </w:p>
    <w:p>
      <w:r>
        <w:rPr>
          <w:b/>
        </w:rPr>
        <w:t>[Pages 4–5]</w:t>
      </w:r>
    </w:p>
    <w:p>
      <w:r>
        <w:t xml:space="preserve">III. Competitive Analysis  </w:t>
        <w:br/>
        <w:t xml:space="preserve">A. DOWNSTREAM MARKET OF FOOD-DOMINATED DISTRIBUTION  </w:t>
        <w:br/>
        <w:t xml:space="preserve">14. In the market comprising supermarkets and equivalent retail formats located within a 15-minute drive catchment area around the target store located on Boulevard Marcel Pagnol in Saint-Laurent-du-Var, the target Intermarché represents [5-10]% of the sales area. Besides the target supermarket, other sales outlets under the Intermarché brand, with areas of 2,058 m², 1,180 m², 1,000 m², and 880 m², are present in this area and represent [20-30]% of the sales area. ITM's market share following the operation will therefore rise to [30-40]%. ITM's competitors in this area are Casino, which will hold a market share of [50-60]%, Carrefour ([5-10]%), and Dia ([0-5]%).  </w:t>
        <w:br/>
        <w:t xml:space="preserve">15. In the market comprising supermarkets and equivalent retail formats located within a 15-minute drive catchment area around the target store located on Avenue du Général De Gaulle in Saint-Laurent-du-Var, the target Intermarché represents [0-5]% of the sales area. Besides the target supermarket, other stores under the Intermarché brand, with areas of 2,200 m², 2,058 m², 1,180 m², 1,311 m², 1,000 m², and 900 m², are present in this area and represent [10-20]% of the sales area. ITM's market share following the operation will therefore rise to [10-20]%. The main competitors of ITM in this area are the Carrefour group ([30-40]%) and Casino ([20-30]%), as well as Leclerc ([10-20]%), Grand Frais ([0-5]%), Dia ([0-5]%), and Système U ([0-5]%).  </w:t>
        <w:br/>
        <w:t xml:space="preserve">16. In the market comprising supermarkets and equivalent retail formats located within a 15-minute drive catchment area around the sales outlet in Gattières, the target Intermarché represents [0-5]% of the sales area. Besides the target supermarket, another sales outlet under the Intermarché brand, with an area of 600 m², is present in this area and represents [0-5]% of the sales area. ITM's market share following the operation will therefore rise to [5-10]%. The main competitors of ITM in this area are the Carrefour group ([50-60]%) and Centre Leclerc ([20-30]%), as well as Casino ([0-5]%), Grand Frais ([0-5]%), Lidl ([0-5]%), and Système U ([0-5]%).  </w:t>
        <w:br/>
        <w:t xml:space="preserve">17. In the market comprising supermarkets and equivalent retail formats located within a 15-minute drive catchment area around the sales outlet in Cagnes-sur-Mer, the target Intermarché represents [0-5]% of the sales area. Besides the target supermarket, other sales outlets under the Intermarché brand, with areas of 2,200 m², 2,058 m², 1,311 m², 1,000 m², and 880 m², are present in this area and represent [20-30]% of the sales area. ITM's market share following the operation will therefore rise to [20-30]%. The main competitors of ITM in this area are Casino ([30-40]%) and Leclerc ([20-30]%), as well as Carrefour ([0-5]%), Dia ([0-5]%), and Système U ([0-5]%).  </w:t>
        <w:br/>
        <w:t xml:space="preserve">18. Consequently, the operation is not likely to harm competition in the relevant market.  </w:t>
        <w:br/>
        <w:t xml:space="preserve">B. UPSTREAM MARKET OF SUPPLY  </w:t>
        <w:br/>
        <w:t xml:space="preserve">19. Regarding the upstream supply markets, it should be noted that the operation is limited to four stores that will represent only a marginal part of the revenue generated by the ITM group in France. The acquisition is therefore not likely to significantly strengthen the purchasing power of the ITM group, across all products as well as by major product groups.  </w:t>
        <w:br/>
        <w:t xml:space="preserve">20. Consequently, the operation is not likely to harm competition in the upstream distribution market.  </w:t>
        <w:br/>
        <w:t xml:space="preserve">DECIDES  </w:t>
        <w:br/>
        <w:t xml:space="preserve">Single Article: The operation notified under number 13-221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