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https://www.autoritedelaconcurrence.fr/fr/decision-de-controle-des-concentrations/relative-la-prise-de-controle-exclusif-des-societes-reyopau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12-DCC-67 of May 24, 2012  </w:t>
        <w:br/>
        <w:t xml:space="preserve">regarding the exclusive control acquisition of the companies Reyopau, Porice,  </w:t>
        <w:br/>
        <w:t xml:space="preserve">Gomen, Trelane, and Tralie by the company ITM Alimentaire Ouest  </w:t>
        <w:br/>
        <w:t xml:space="preserve">The Competition Authority,  </w:t>
        <w:br/>
        <w:t xml:space="preserve">Having regard to the notification file sent to the mergers department on February 3, 2012, and declared  </w:t>
        <w:br/>
        <w:t xml:space="preserve">complete on April 16, 2012, concerning the exclusive control acquisition of the companies Reyopau, Porice,  </w:t>
        <w:br/>
        <w:t xml:space="preserve">Gomen, Trelane, and Tralie by the company ITM Alimentaire Ouest, formalized by a memorandum of understanding dated December 7,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companies Reyopau, Porice,  </w:t>
        <w:br/>
        <w:t xml:space="preserve">Gomen, Trelane, and Tralie, operating commercial establishments under the brands Intermarché,  </w:t>
        <w:br/>
        <w:t xml:space="preserve">Netto, and Ecomarché in the towns of Bégard (22), Ploubezre (22), and Louargat (22), by  </w:t>
        <w:br/>
        <w:t xml:space="preserve">the company ITM Alimentaire Ouest. It constitutes a concentration operation within the meaning of  </w:t>
        <w:br/>
        <w:t xml:space="preserve">Article L. 430-1 of the Commercial Code. Given the turnover generated by the  </w:t>
        <w:br/>
        <w:t xml:space="preserve">concerned companies, the operation does not have a community dimension. On the other hand,  </w:t>
        <w:br/>
        <w:t xml:space="preserve">the control thresholds related to retail trade mentioned in point II of 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12-016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