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https://www.autoritedelaconcurrence.fr/fr/decision-de-controle-des-concentrations/relative-la-prise-de-controle-exclusif-des-societes-rsf</w:t>
      </w:r>
    </w:p>
    <w:p>
      <w:r>
        <w:t>Pages translated : 2</w:t>
      </w:r>
    </w:p>
    <w:p/>
    <w:p>
      <w:r>
        <w:rPr>
          <w:b/>
        </w:rPr>
        <w:t>[Pages 1–2]</w:t>
      </w:r>
    </w:p>
    <w:p>
      <w:r>
        <w:t xml:space="preserve">FRENCH REPUBLIC  </w:t>
        <w:br/>
        <w:t xml:space="preserve">Decision No. 20-DCC-39 of March 9, 2020  </w:t>
        <w:br/>
        <w:t xml:space="preserve">regarding the acquisition of exclusive control of the companies RSF Diffusion, SRD Com Aubière, Mozac Loisirs, SF Europe, RSD, and Louis Blériot by the company Groupe David Gerbier  </w:t>
        <w:br/>
        <w:t xml:space="preserve">The Competition Authority,  </w:t>
        <w:br/>
        <w:t xml:space="preserve">Having regard to the notification file sent to the mergers department on January 31, 2020, declared complete on February 18, 2020, concerning the acquisition of exclusive control of the companies RSF Diffusion, SRD Com Aubière, Mozac Loisirs, SF Europe, RSD, and Louis Blériot by the company Groupe David Gerbier, materialized by a share and social parts transfer agreement and by a unilateral promise of sale dated January 24, 2020;  </w:t>
        <w:br/>
        <w:t xml:space="preserve">Having regard to Book IV of the Commercial Code relating to the freedom of prices and competition, and in particular its Articles L. 430-1 to L. 430-7;  </w:t>
        <w:br/>
        <w:t xml:space="preserve">Having regard to the elements transmitted during the investigation by the notifying party;  </w:t>
        <w:br/>
        <w:t xml:space="preserve">Adopts the following decision:  </w:t>
        <w:br/>
        <w:t xml:space="preserve">1. The notified operation consists of the acquisition of exclusive control by the company Groupe David Gerbier of the companies RSF Diffusion, SRD Com Aubière, and Mozac Loisirs, operating leisure vehicle concessions located respectively in Lempdes, Cournon-d’Auvergne, and Mozac in the Puy-de-Dôme (63), and the real estate companies SF Europe, RSD, and Louis Blériot.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20-025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