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https://www.autoritedelaconcurrence.fr/fr/decision-de-controle-des-concentrations/relative-la-prise-de-controle-exclusif-des-societes-sacoa</w:t>
      </w:r>
    </w:p>
    <w:p>
      <w:r>
        <w:t>Pages translated : 2</w:t>
      </w:r>
    </w:p>
    <w:p/>
    <w:p>
      <w:r>
        <w:rPr>
          <w:b/>
        </w:rPr>
        <w:t>[Pages 1–2]</w:t>
      </w:r>
    </w:p>
    <w:p>
      <w:r>
        <w:t xml:space="preserve">FRENCH REPUBLIC  </w:t>
        <w:br/>
        <w:t xml:space="preserve">Decision No. 22-DCC-249 of December 19, 2022  </w:t>
        <w:br/>
        <w:t xml:space="preserve">regarding the exclusive control acquisition of the companies Sacoa, Manche Auto, Garage Dubois Helleux, and Granville Autopassion by the Bayi group  </w:t>
        <w:br/>
        <w:t xml:space="preserve">The Competition Authority,  </w:t>
        <w:br/>
        <w:t xml:space="preserve">Having regard to the notification file sent to the mergers department on November 30, 2022, declared complete on December 12, 2022, concerning the exclusive control acquisition of the companies Sacoa, Manche Auto, Garage Dubois Helleux, and Granville Autopassion by the Bayi group, formalized by a share transfer agreement dated November 9,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Bayi Finances, the parent company of the Bayi group, of the companies Sacoa, Manche Auto, Garage Dubois Helleux, and Granville Autopassion which operate car dealerships located in the departments of Calvados (14), Manche (50), and Orne (61). The parties are both active in the automotive distribution sector. The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22-293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