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https://www.autoritedelaconcurrence.fr/fr/decision-de-controle-des-concentrations/relative-la-prise-de-controle-exclusif-des-societes-saja-et</w:t>
      </w:r>
    </w:p>
    <w:p>
      <w:r>
        <w:t>Pages translated : 2</w:t>
      </w:r>
    </w:p>
    <w:p/>
    <w:p>
      <w:r>
        <w:rPr>
          <w:b/>
        </w:rPr>
        <w:t>[Pages 1–2]</w:t>
      </w:r>
    </w:p>
    <w:p>
      <w:r>
        <w:t xml:space="preserve">FRENCH REPUBLIC  </w:t>
        <w:br/>
        <w:t xml:space="preserve">Decision No. 21-DCC-159 of September 17, 2021  </w:t>
        <w:br/>
        <w:t xml:space="preserve">regarding the exclusive control acquisition of the companies Saja and Sajaloc by  </w:t>
        <w:br/>
        <w:t xml:space="preserve">the company Codiva  </w:t>
        <w:br/>
        <w:t xml:space="preserve">The Competition Authority,  </w:t>
        <w:br/>
        <w:t xml:space="preserve">Having regard to the complete notification file submitted to the mergers department on September 2, 2021,  </w:t>
        <w:br/>
        <w:t xml:space="preserve">concerning the exclusive control acquisition of the companies Saja and Sajaloc by the company Codiva (hereinafter "Codiva"), formalized by a letter of intent dated May 21,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companies Saja and Sajaloc,  </w:t>
        <w:br/>
        <w:t xml:space="preserve">which operate ten dealerships and automotive agencies under the Renault-Dacia and Europcar brands, located in the municipalities of Auxerre (89), Avallon (89), Champlay (89), Joigny (89)  </w:t>
        <w:br/>
        <w:t xml:space="preserve">and Saint-Florent (20217), by the company Codiva,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21-188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