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https://www.autoritedelaconcurrence.fr/fr/decision-de-controle-des-concentrations/relative-la-prise-de-controle-exclusif-des-societes-sam-et</w:t>
      </w:r>
    </w:p>
    <w:p>
      <w:r>
        <w:t>Pages translated : 2</w:t>
      </w:r>
    </w:p>
    <w:p/>
    <w:p>
      <w:r>
        <w:rPr>
          <w:b/>
        </w:rPr>
        <w:t>[Pages 1–2]</w:t>
      </w:r>
    </w:p>
    <w:p>
      <w:r>
        <w:t xml:space="preserve">FRENCH REPUBLIC  </w:t>
        <w:br/>
        <w:t xml:space="preserve">Decision No. 20-DCC-99 of August 3, 2020  </w:t>
        <w:br/>
        <w:t xml:space="preserve">regarding the exclusive control acquisition of companies SAM and SAM LH  </w:t>
        <w:br/>
        <w:t xml:space="preserve">by the company Amidis et Compagnie  </w:t>
        <w:br/>
        <w:t>The Competition Authority,</w:t>
      </w:r>
    </w:p>
    <w:p>
      <w:r>
        <w:t xml:space="preserve">Having regard to the complete notification file submitted to the mergers department on July 17, 2020,  </w:t>
        <w:br/>
        <w:t xml:space="preserve">concerning the exclusive control acquisition of companies SAM and SAM LH by the company Amidis et  </w:t>
        <w:br/>
        <w:t>Compagnie, formalized by a transfer protocol dated June 25, 2020;</w:t>
      </w:r>
    </w:p>
    <w:p>
      <w:r>
        <w:t xml:space="preserve">Having regard to Book IV of the Commercial Code relating to the freedom of prices and competition, and  </w:t>
        <w:br/>
        <w:t>notably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by the operating company Amidis  </w:t>
        <w:br/>
        <w:t xml:space="preserve">et Compagnie, of the companies SAM and SAM LH, which operate respectively two retail business assets predominantly focused on food of the supermarket type, with areas of  </w:t>
        <w:br/>
        <w:t xml:space="preserve">2,058 m² and 780 m² under the Carrefour brand, located in Beaumont-le-Roger (27) and Le Havre (76).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20-127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