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https://www.autoritedelaconcurrence.fr/fr/decision-de-controle-des-concentrations/relative-la-prise-de-controle-exclusif-des-societes-sas-0</w:t>
      </w:r>
    </w:p>
    <w:p>
      <w:r>
        <w:t>Pages translated : 2</w:t>
      </w:r>
    </w:p>
    <w:p/>
    <w:p>
      <w:r>
        <w:rPr>
          <w:b/>
        </w:rPr>
        <w:t>[Pages 1–2]</w:t>
      </w:r>
    </w:p>
    <w:p>
      <w:r>
        <w:t xml:space="preserve">FRENCH REPUBLIC  </w:t>
        <w:br/>
        <w:t xml:space="preserve">Decision No. 18-DCC-227 of December 26, 2018  </w:t>
        <w:br/>
        <w:t xml:space="preserve">regarding the exclusive control acquisition of Decitre SAS and Decitre Interactive SAS by FDN Finance (Le Furet du Nord group)  </w:t>
        <w:br/>
        <w:t xml:space="preserve">The Competition Authority,  </w:t>
        <w:br/>
        <w:t xml:space="preserve">Having regard to the complete notification file submitted to the mergers department on December 3, 2018, concerning the exclusive control acquisition of Decitre SAS and Decitre Interactive SAS by FDN Finance, formalized by an offer letter dated November 2, 2018;  </w:t>
        <w:br/>
        <w:t xml:space="preserve">Having regard to Book IV of the Commercial Code relating to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transaction consists of the exclusive control acquisition of Decitre SAS and Decitre Interactive SAS by FDN Finance. It constitutes a concentration within the meaning of Article L. 430-1 of the Commercial Code. Given the turnover achieved by the companies concerned, the transaction does not fall under the jurisdiction of the European Union. However, the control thresholds mentioned in II of Article L. 430-2 of the Commercial Code are exceeded. This transaction is therefore subject to the provisions of Articles L. 430-3 and following of the Commercial Code relating to economic concentration.  </w:t>
        <w:br/>
        <w:t xml:space="preserve">2. The markets concerned by the transaction are the upstream markets (i) for the supply of books to bookstores and (ii) for the supply of stationery items and the downstream markets (iii) for the sale of books to the final consumer, (iv) for the sale of books to institutional clients, and (v) for the retail sale of stationery items. Given the activities of the target, the market for documentation services is also concerned. These markets are consistently defined by the decision-making practice of the competition authorities.  </w:t>
        <w:br/>
        <w:t xml:space="preserve">3. Regardless of the segmentations retained, the combined market shares of the parties are below 25% when their activities overlap in the same market or below 30% when their activities are located in upstream, downstream, or related markets.  </w:t>
        <w:br/>
        <w:t>4. Considering the elements of the file and in particular point 384 of the guidelines of the Competition Authority regarding the control of concentrations, the transaction is not likely to harm competition.</w:t>
      </w:r>
    </w:p>
    <w:p>
      <w:r>
        <w:t xml:space="preserve">DECIDES  </w:t>
        <w:br/>
        <w:t xml:space="preserve">Sole Article: The notified transaction under number 18-259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