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https://www.autoritedelaconcurrence.fr/fr/decision-de-controle-des-concentrations/relative-la-prise-de-controle-exclusif-des-societes-sas-4</w:t>
      </w:r>
    </w:p>
    <w:p>
      <w:r>
        <w:t>Pages translated : 2</w:t>
      </w:r>
    </w:p>
    <w:p/>
    <w:p>
      <w:r>
        <w:rPr>
          <w:b/>
        </w:rPr>
        <w:t>[Pages 1–2]</w:t>
      </w:r>
    </w:p>
    <w:p>
      <w:r>
        <w:t xml:space="preserve">FRENCH REPUBLIC  </w:t>
        <w:br/>
        <w:t xml:space="preserve">Decision No. 26-DCC-19 of January 20, 2026  </w:t>
        <w:br/>
        <w:t xml:space="preserve">regarding the exclusive control acquisition of the companies SAS Hérouville FDC, Nancy Distribution, and Poissonnière FDC by the Cooperative U company  </w:t>
        <w:br/>
        <w:t xml:space="preserve">The Competition Authority,  </w:t>
        <w:br/>
        <w:t xml:space="preserve">Having regard to the complete notification file submitted to the mergers department on December 19, 2025, concerning the exclusive control acquisition of the companies SAS Hérouville FDC, Nancy Distribution, and Poissonnière FDC by the Cooperative U company, formalized by a purchase promise signed on July 2, 2025, share and debt transfer agreements, and a bilateral promise of sale concerning real estate assets signed on October 28,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Cooperative U company of the following three companies:  </w:t>
        <w:br/>
        <w:t xml:space="preserve">- the company Hérouville FDC, owner of the business assets of a store operated under the Carrefour brand located on departmental road 515 in Hérouville-Saint-Clair in Calvados (14), with a sales area of 10,275 m², including a gas station and an attached drive;  </w:t>
        <w:br/>
        <w:t xml:space="preserve">- the company Nancy Distribution, owner of the business assets of a store operated under the Match brand located at 24 avenue du XXème Corps in Nancy, in Meurthe-et-Moselle (54), with a surface area of 175 m²; and  </w:t>
        <w:br/>
        <w:t xml:space="preserve">- the company Poissonnière FDC, owner of the business assets of a store operated under the Carrefour City brand located at 7 bis boulevard Poissonnière in Paris (75), with a surface area of 200 m².  </w:t>
        <w:br/>
        <w:t xml:space="preserve">The operation constitutes a concentration within the meaning of Article L. 430-1 of the Commercial Code.  </w:t>
        <w:br/>
        <w:t xml:space="preserve">Given the revenues generated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 xml:space="preserve">DECIDES  </w:t>
        <w:br/>
        <w:t xml:space="preserve">Sole Article: The operation notified under number 25-365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