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https://www.autoritedelaconcurrence.fr/fr/decision-de-controle-des-concentrations/relative-la-prise-de-controle-exclusif-des-societes-sas</w:t>
      </w:r>
    </w:p>
    <w:p>
      <w:r>
        <w:t>Pages translated : 4</w:t>
      </w:r>
    </w:p>
    <w:p/>
    <w:p>
      <w:r>
        <w:rPr>
          <w:b/>
        </w:rPr>
        <w:t>[Pages 1–3]</w:t>
      </w:r>
    </w:p>
    <w:p>
      <w:r>
        <w:t>FRENCH REPUBLIC</w:t>
        <w:br/>
        <w:t>Decision No. 13-DCC-198 of December 24, 2013</w:t>
        <w:br/>
        <w:t>regarding the exclusive control of the companies SAS Jofran, SAS JFM, and SARL Meri 80 by the company Système U Centrale Régionale Sud</w:t>
        <w:br/>
        <w:t>The Competition Authority,</w:t>
        <w:br/>
        <w:t>Having regard to the notification file submitted in full to the merger service on November 26, 2013, concerning the acquisition of the companies SAS Jofran, SAS JFM, and SARL Meri 80 by the company Système U Centrale Régionale Sud, formalized by a memorandum of understanding dated November 25, 2013;</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companies concerned and the operation</w:t>
        <w:br/>
        <w:t>1. The company Système U Centrale Régionale Sud is a cooperative public limited company of retail merchants. Active in the south of France, it is one of the four regional cooperatives of the cooperative group Système U. Its members are independent merchants, each owning their store, who operate stores under the brands Hyper U (70 stores), Super U (771 stores), Marché U (26 stores), U Express (268 stores), and Utile (369 stores).</w:t>
        <w:br/>
        <w:t>2. The target of the operation consists of three companies (hereinafter, "the target companies") currently owned by the members of the Mériguet family. The companies Jofran and JFM are two simplified joint-stock companies operating a supermarket under the brand Super U and a hypermarket under the brand Hyper U, located in Romans sur Isère (26). The limited liability company Méri 80 owns and operates a cafeteria under the Flunch brand located in the shopping gallery of the Hyper U hypermarket in Romans sur Isère (26).</w:t>
      </w:r>
    </w:p>
    <w:p>
      <w:r>
        <w:t>3. The notified operation, formalized by a memorandum of understanding dated November 25, 2013, consists of the acquisition by the company Système U Centrale Régionale Sud of the entire capital of the target companies.</w:t>
        <w:br/>
        <w:t>4. As it results in the exclusive control of the companies SAS Jofran, SAS JFM, and SARL Meri 80 by Système U, the operation constitutes a concentration within the meaning of Article L.430-1 of the Commercial Code.</w:t>
        <w:br/>
        <w:t>5. The companies concerned operate one or more retail stores and together achieve a total worldwide turnover of more than 150 million euros (Système U: [...] euros for the fiscal year ending December 31, 2012; the target companies: [...] euros for the same fiscal year). Each achieves in France in the retail sector a turnover exceeding 50 million euros (Système U: [...] euros for the fiscal year ending December 31, 2012; the target companies: [...] euros for the same fiscal year). Given these turnover figures, the operation does not have a community dimension. However, the control thresholds related to retail mentioned in point I of Article L. 430-2 of the Commercial Code are exceeded. The present operation is therefore subject to the provisions of Articles L. 430-3 and following of the Commercial Code relating to economic concentration.</w:t>
        <w:br/>
        <w:t>II. Delimitation of the relevant markets</w:t>
        <w:br/>
        <w:t>6. According to the consistent practice of national and community competition authorities, two categories of markets can be delineated in the food-dominant distribution sector. These are, on the one hand, the "downstream" markets, of local dimension, which bring together retail companies and consumers for the sale of consumer goods and, on the other hand, the "upstream" markets for supplying retail companies with everyday consumer goods, of national dimension.</w:t>
        <w:br/>
        <w:t>A. DOWNSTREAM MARKETS OF DISTRIBUTION</w:t>
        <w:br/>
        <w:t>1. SERVICE MARKETS</w:t>
        <w:br/>
        <w:t>7. Regarding the retail sale of everyday consumer goods, both community and national competition authorities have distinguished six categories of trade using several criteria, including store size, sales techniques, accessibility, the nature of the service provided, and the range of products offered: (i) hypermarkets, (ii) supermarkets, (iii) specialized trade, (iv) small retail trade, (v) discount stores, (vi) mail order sales.</w:t>
      </w:r>
    </w:p>
    <w:p>
      <w:r>
        <w:t>8. Supermarkets are usually defined as food-dominant stores with a legal sales area of less than 2,500 m². Sales areas exceeding 2,500 m² define hypermarkets.</w:t>
        <w:br/>
        <w:t>9. In this case, the operation concerns two stores: a Super U store with a sales area of 1,815 m², which falls into the category of supermarkets, and a Hyper U store with a sales area of 4,917 m², which falls into the category of hypermarkets.</w:t>
        <w:br/>
        <w:t>2. GEOGRAPHICAL DELIMITATION</w:t>
        <w:br/>
        <w:t>10. In its recent decisions relating to operations concerning hypermarkets or supermarkets, the Competition Authority has reiterated that depending on the size of the stores concerned, the conditions of competition must be assessed in two different areas:</w:t>
        <w:br/>
        <w:t>- a first market where the demand from consumers in an area meets the supply of hypermarkets that they can access within 30 minutes of driving and which are, from their point of view, substitutable for each other;</w:t>
        <w:br/>
        <w:t>- a second market where the demand from consumers meets the supply of supermarkets and equivalent forms of trade located within 15 minutes of driving time. These latter forms of trade may include, in addition to supermarkets, hypermarkets located near consumers and discount stores.</w:t>
        <w:br/>
        <w:t>11. Other criteria may, however, be taken into account to assess the impact of a concentration on the competitive situation in retail distribution markets, which may lead to refining, in the specific case, the usual delimitations presented above.</w:t>
        <w:br/>
        <w:t>12. In this case, for the target store falling into the category of hypermarkets, the competitive analysis will be conducted on the market including hypermarkets within a 30-minute radius around Romans sur Isère (26) as well as on the market including only supermarkets and equivalent forms of trade located within a 15-minute radius around Romans sur Isère (26). For the target store falling into the category of supermarkets, the competitive analysis will be conducted on this second market.</w:t>
        <w:br/>
        <w:t>B. UPSTREAM SUPPLY MARKETS</w:t>
        <w:br/>
        <w:t>13. Regarding supply markets, the European Commission has recognized the existence of markets of national dimension by major product groups, a delimitation followed by national authorities.</w:t>
        <w:br/>
        <w:t>14. There is no reason to challenge this delimitation in the context of the present operation.</w:t>
      </w:r>
    </w:p>
    <w:p>
      <w:r>
        <w:rPr>
          <w:b/>
        </w:rPr>
        <w:t>[Pages 4–4]</w:t>
      </w:r>
    </w:p>
    <w:p>
      <w:r>
        <w:t xml:space="preserve">III. Competitive Analysis  </w:t>
        <w:br/>
        <w:t xml:space="preserve">A. DOWNSTREAM MARKET OF FOOD DISTRIBUTION  </w:t>
        <w:br/>
        <w:t xml:space="preserve">15. The operation does not result in any overlap of activity in the catchment area comprising supermarkets and equivalent forms of commerce located within a 15-minute drive, with the targets constituting the only two stores under the Système U brand in that area. Furthermore, the target stores, which represent approximately [20-30]% of the sales areas in the zone, face competition from several operators, notably stores operated under the Leclerc brand ([20-30]% of the sales areas), Casino ([10-20]%), Carrefour ([5-10]%), Lidl ([5-10]%), and ITM ([5-10]%).  </w:t>
        <w:br/>
        <w:t xml:space="preserve">16. In contrast, in the 30-minute catchment area around the target hypermarket, located in Romans sur Isère (26), there is a Super U store with a sales area of 2,700 m². However, these two points of sale represent only [10-20]% of the sales areas in the zone and will face competition from hypermarkets under the Leclerc brand ([30-40]% of the sales areas), Casino ([30-40]%), and Intermarché (approximately [20-30]%).  </w:t>
        <w:br/>
        <w:t xml:space="preserve">17. Consequently, the operation is not likely to harm competition in the relevant downstream markets.  </w:t>
        <w:br/>
        <w:t xml:space="preserve">B. UPSTREAM SUPPLY MARKET  </w:t>
        <w:br/>
        <w:t xml:space="preserve">18. Regarding the upstream supply markets, since the target stores are already associates of Système U Centrale Régionale Sud, the operation is not likely to significantly strengthen the purchasing power of the Système U group, across all products as well as by major product groups.  </w:t>
        <w:br/>
        <w:t xml:space="preserve">19. Therefore, the operation is not likely to harm competition in the relevant upstream markets.  </w:t>
        <w:br/>
        <w:t xml:space="preserve">DECIDES  </w:t>
        <w:br/>
        <w:t xml:space="preserve">Sole Article: The operation notified under number 13-226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