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https://www.autoritedelaconcurrence.fr/fr/decision-de-controle-des-concentrations/relative-la-prise-de-controle-exclusif-des-societes-savy-21</w:t>
      </w:r>
    </w:p>
    <w:p>
      <w:r>
        <w:t>Pages translated : 2</w:t>
      </w:r>
    </w:p>
    <w:p/>
    <w:p>
      <w:r>
        <w:rPr>
          <w:b/>
        </w:rPr>
        <w:t>[Pages 1–2]</w:t>
      </w:r>
    </w:p>
    <w:p>
      <w:r>
        <w:t xml:space="preserve">FRENCH REPUBLIC  </w:t>
        <w:br/>
        <w:t xml:space="preserve">Decision No. 24-DCC-09 of January 22, 2024  </w:t>
        <w:br/>
        <w:t>regarding the exclusive control acquisition of the companies Savy 21, Savy Chalon sur Saône, Savy Chaumont, Savy Moto Dijon, and Savy Troyes by the company CAR Avenue France</w:t>
      </w:r>
    </w:p>
    <w:p>
      <w:r>
        <w:t>The Competition Authority,</w:t>
      </w:r>
    </w:p>
    <w:p>
      <w:r>
        <w:t>Having regard to the notification file sent to the mergers department on January 3, 2024, declared complete on January 12, 2024, concerning the exclusive control acquisition of the companies Savy 21, Savy Chalon sur Saône, Savy Chaumont, Savy Moto Dijon, and Savy Troyes by the company CAR Avenue France formalized by the transfer agreements dated December 22, 2023;</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by the company CAR Avenue France of the companies Savy 21, Savy Chalon-sur-Saône, Savy Chaumont, Savy Moto Dijon, and Savy Troyes, which operate five car dealerships located in the departments of Aube (10), Côte-d’Or (21), Haute-Marne (52), and Saône-et-Loire (71).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24-001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