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https://www.autoritedelaconcurrence.fr/fr/decision-de-controle-des-concentrations/relative-la-prise-de-controle-exclusif-des-societes-savy</w:t>
      </w:r>
    </w:p>
    <w:p>
      <w:r>
        <w:t>Pages translated : 2</w:t>
      </w:r>
    </w:p>
    <w:p/>
    <w:p>
      <w:r>
        <w:rPr>
          <w:b/>
        </w:rPr>
        <w:t>[Pages 1–2]</w:t>
      </w:r>
    </w:p>
    <w:p>
      <w:r>
        <w:t>FRENCH REPUBLIC</w:t>
        <w:br/>
        <w:t>Decision No. 23-DCC-218 of November 7, 2023</w:t>
        <w:br/>
        <w:t>regarding the exclusive control acquisition of the companies Savy Franche-Comté SAS and Savy Jura SAS by the Hess Automobile group</w:t>
        <w:br/>
        <w:t>The Competition Authority,</w:t>
        <w:br/>
        <w:t>Having regard to the complete notification file submitted to the mergers department on October 19, 2023, concerning the exclusive control acquisition of the companies Savy Franche-Comté and Savy Jura, formalized by a letter of intent dated September 22,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Hess Automobile group of the companies Savy Franche-Comté and Savy Jura, which are active in the sector of automobile distribution in Besançon (25), Pontarlier (25), Dole (39), Lons le Saunier (39), and Belfort (90).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23-260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