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https://www.autoritedelaconcurrence.fr/fr/decision-de-controle-des-concentrations/relative-la-prise-de-controle-exclusif-des-societes-sdro-et</w:t>
      </w:r>
    </w:p>
    <w:p>
      <w:r>
        <w:t>Pages translated : 27</w:t>
      </w:r>
    </w:p>
    <w:p/>
    <w:p>
      <w:r>
        <w:rPr>
          <w:b/>
        </w:rPr>
        <w:t>[Pages 1–3]</w:t>
      </w:r>
    </w:p>
    <w:p>
      <w:r>
        <w:t xml:space="preserve">FRENCH REPUBLIC  </w:t>
        <w:br/>
        <w:t xml:space="preserve">Decision No. 18-DCC-142 of August 23, 2018  </w:t>
        <w:br/>
        <w:t xml:space="preserve">regarding the exclusive control of the companies SDRO and Robert II  </w:t>
        <w:br/>
        <w:t xml:space="preserve">by the company Groupe Bernard Hayot  </w:t>
        <w:br/>
        <w:t xml:space="preserve">The Competition Authority,  </w:t>
        <w:br/>
        <w:t xml:space="preserve">Having regard to the notification file submitted in full to the merger service on June 20, 2018,  </w:t>
        <w:br/>
        <w:t xml:space="preserve">regarding the exclusive control by the company Groupe Bernard Hayot of the companies SDRO  </w:t>
        <w:br/>
        <w:t xml:space="preserve">and Robert II, formalized by mutual promises of sale dated May 23, 2018;  </w:t>
        <w:br/>
        <w:t xml:space="preserve">Having regard to Book IV of the Commercial Code relating to the freedom of prices and competition, and  </w:t>
        <w:br/>
        <w:t xml:space="preserve">notably its Articles L. 430-1 to L. 430-7;  </w:t>
        <w:br/>
        <w:t xml:space="preserve">Having regard to the commitments presented on July 18 and 25, 2018 by the notifying party;  </w:t>
        <w:br/>
        <w:t xml:space="preserve">Having regard to the additional elements transmitted by the notifying party during the investigation;  </w:t>
        <w:br/>
        <w:t xml:space="preserve">Adopts the following decision:  </w:t>
        <w:br/>
        <w:t xml:space="preserve">I. The concerned companies and the operation  </w:t>
        <w:br/>
        <w:t xml:space="preserve">1. Groupe Bernard Hayot is a simplified joint-stock company, at the head of a group of the same  </w:t>
        <w:br/>
        <w:t xml:space="preserve">name (hereinafter, "GBH"), primarily active in three areas of activity: food and non-food distribution,  </w:t>
        <w:br/>
        <w:t xml:space="preserve">automotive distribution, and various industrial activities (agri-food, construction materials, tire retreading).  </w:t>
        <w:br/>
        <w:t xml:space="preserve">GBH is active in the Antilles-Guyana zone, but also in Réunion, Cuba, Santo Domingo, Trinidad  </w:t>
        <w:br/>
        <w:t xml:space="preserve">and Tobago, mainland France, New Caledonia, Algeria, Morocco, Ghana, and China. In Martinique,  </w:t>
        <w:br/>
        <w:t xml:space="preserve">GBH operates three hypermarkets under the Carrefour brand, located in Ducos, Dillon / Fort-de-France,  </w:t>
        <w:br/>
        <w:t xml:space="preserve">and Cluny / Schœlcher. It also operates in the wholesale distribution market of food-dominant products,  </w:t>
        <w:br/>
        <w:t xml:space="preserve">both as a wholesale importer through the companies Sodicar, Pamagel, and Héritiers Clément and as a  </w:t>
        <w:br/>
        <w:t xml:space="preserve">purchasing center through the company Bamappro. Its subsidiary Héritiers Clément also produces rum.  </w:t>
        <w:br/>
        <w:t xml:space="preserve">2. The target companies are SDRO, which operates a hypermarket under the Géant Casino brand,  </w:t>
        <w:br/>
        <w:t xml:space="preserve">located in the municipality of Robert in Martinique, and Robert II, which owns the real estate housing  </w:t>
        <w:br/>
        <w:t xml:space="preserve">this hypermarket, as well as a shopping gallery. These two companies are controlled by the Ho Hio Hen  </w:t>
        <w:br/>
        <w:t xml:space="preserve">group (hereinafter, "HHH"), which is also active in the food-dominant distribution sector in overseas territories.  </w:t>
        <w:br/>
        <w:t xml:space="preserve">3. The contemplated operation consists of the acquisition by GBH of all the shares of the companies  </w:t>
        <w:br/>
        <w:t xml:space="preserve">SDRO and Robert II.  </w:t>
        <w:br/>
        <w:t xml:space="preserve">4. As it results in the exclusive control by GBH of the companies SDRO and Robert II, the notified  </w:t>
        <w:br/>
        <w:t xml:space="preserve">operation constitutes a concentration within the meaning of Article L. 430-1 of the Commercial Code.  </w:t>
        <w:br/>
        <w:t xml:space="preserve">5. The concerned companies together achieve a total turnover excluding taxes on a global scale of  </w:t>
        <w:br/>
        <w:t xml:space="preserve">more than 75 million euros (GBH: [&gt; 75 million] euros for the last fiscal year ending December 31, 2016;  </w:t>
        <w:br/>
        <w:t xml:space="preserve">target companies: [&lt; 75 million] euros for the same fiscal year). Each of these companies has achieved,  </w:t>
        <w:br/>
        <w:t xml:space="preserve">in Martinique, a turnover exceeding 5 million euros (GBH: [&gt; 5 million] euros for the last fiscal year  </w:t>
        <w:br/>
        <w:t xml:space="preserve">ending December 31, 2016; target companies: [&gt; 5 million] euros for the same fiscal year). Given the  </w:t>
        <w:br/>
        <w:t xml:space="preserve">turnover achieved by the concerned companies, the operation does not fall under the jurisdiction of  </w:t>
        <w:br/>
        <w:t xml:space="preserve">the European Union. On the other hand, the thresholds mentioned in III of Article L. 430-2 of the  </w:t>
        <w:br/>
        <w:t xml:space="preserve">Commercial Code are exceeded. This operation is therefore subject to the provisions of Articles L. 430-3  </w:t>
        <w:br/>
        <w:t xml:space="preserve">and following of the Commercial Code relating to economic concentration.  </w:t>
        <w:br/>
        <w:t xml:space="preserve">II. Delimitation of the relevant markets  </w:t>
        <w:br/>
        <w:t xml:space="preserve">6. The parties are simultaneously active in the markets for food-dominant retail distribution.  </w:t>
        <w:br/>
        <w:t xml:space="preserve">7. According to the consistent decision-making practice of competition authorities, two categories of  </w:t>
        <w:br/>
        <w:t xml:space="preserve">markets are delineated in this sector. These are, on the one hand, the "upstream" markets for supplying  </w:t>
        <w:br/>
        <w:t xml:space="preserve">retail trade companies with consumer goods and, on the other hand, the "downstream" markets for  </w:t>
        <w:br/>
        <w:t xml:space="preserve">food-dominant retail distribution1. "Intermediate" markets for wholesale trade may also be examined,  </w:t>
        <w:br/>
        <w:t xml:space="preserve">given GBH's presence in these markets.  </w:t>
        <w:br/>
        <w:t xml:space="preserve">A. UPSTREAM SUPPLY MARKETS  </w:t>
        <w:br/>
        <w:t xml:space="preserve">1. PRODUCT MARKETS  </w:t>
        <w:br/>
        <w:t xml:space="preserve">8. In the food-dominant retail distribution sector, companies are present, as buyers, in the  </w:t>
        <w:br/>
        <w:t xml:space="preserve">upstream supply markets, which include the sale of consumer goods by producers to customers such as  </w:t>
        <w:br/>
        <w:t xml:space="preserve">wholesalers, retailers (food hypermarkets (hereinafter, "GSA") and specialized large surfaces (hereinafter,  </w:t>
        <w:br/>
        <w:t xml:space="preserve">"GSS")) or other businesses (for example, cafés/hotels/restaurants)2.  </w:t>
        <w:br/>
        <w:t xml:space="preserve">9. Competition authorities usually distinguish as many markets as there are families or groups of products3.  </w:t>
        <w:br/>
        <w:t xml:space="preserve">The following categories have thus been distinguished:  </w:t>
        <w:br/>
        <w:t xml:space="preserve">− Fast-moving consumer goods: (1) liquids, (2) drugstore, (3) perfumery and hygiene,  </w:t>
        <w:br/>
        <w:t xml:space="preserve">(4) dry grocery, (5) parapharmacy, (6) perishable goods in self-service;  </w:t>
        <w:br/>
        <w:t xml:space="preserve">− Traditional fresh: (7) delicatessen, (8) fishmonger, (9) fruits and vegetables, (10) fresh bread and  </w:t>
        <w:br/>
        <w:t xml:space="preserve">pastry, (11) butcher;  </w:t>
        <w:br/>
        <w:t xml:space="preserve">− Bazaar: (12) DIY, (13) home, (14) culture, (15) toys, leisure and relaxation, (16) garden,  </w:t>
        <w:br/>
        <w:t xml:space="preserve">(17) automotive;  </w:t>
        <w:br/>
        <w:t xml:space="preserve">− Household appliances, photo, cinema, and sound: (18) large household appliances, (19) small  </w:t>
        <w:br/>
        <w:t xml:space="preserve">household appliances, (20) photo and cinema, (21) hi-fi and sound, (22) TV and video;  </w:t>
        <w:br/>
        <w:t xml:space="preserve">− Textiles: (23) textiles and shoes.  </w:t>
        <w:br/>
        <w:t xml:space="preserve">10. The European Commission has also considered segmentation based on distribution channels4. In its  </w:t>
        <w:br/>
        <w:t xml:space="preserve">Carrefour/Promodès decision, it notes that "there are serious indications to suggest that certain supply  </w:t>
        <w:br/>
        <w:t xml:space="preserve">markets may also be defined based on distribution channels, such that the supply of the food-dominant retail  </w:t>
        <w:br/>
        <w:t xml:space="preserve">sector could constitute an autonomous market." The Competition Authority has also identified a distinct  </w:t>
        <w:br/>
        <w:t xml:space="preserve">market for the supply of food products intended for GSAs5.  </w:t>
        <w:br/>
        <w:t xml:space="preserve">11. Furthermore, within this channel, the Competition Authority has considered a sub-segmentation based on  </w:t>
        <w:br/>
        <w:t xml:space="preserve">the commercial positioning of the product (supplier brand or "MDF", distributor brand or "MDD")6.  </w:t>
        <w:br/>
        <w:t xml:space="preserve">12. In this case, the parties are simultaneously active as buyers for the supply of their GSAs. Furthermore,  </w:t>
        <w:br/>
        <w:t xml:space="preserve">GBH is active in these markets for the supply of its GSS, as well as for its wholesale-importer and  </w:t>
        <w:br/>
        <w:t xml:space="preserve">purchasing center activities. Finally, GBH is also active, upstream of these markets, as a supplier, in the  </w:t>
        <w:br/>
        <w:t xml:space="preserve">liquid supply segment as a rum producer.  </w:t>
        <w:br/>
        <w:t xml:space="preserve">2. GEOGRAPHICAL MARKETS  </w:t>
        <w:br/>
        <w:t xml:space="preserve">13. Competition authorities consider that the geographical delimitation of supply markets is essentially  </w:t>
        <w:br/>
        <w:t xml:space="preserve">national, while not excluding that, for certain categories of products, the market dimension may, in part, be narrower.  </w:t>
        <w:br/>
        <w:t xml:space="preserve">2 See notably decision COMP/M.1684 and decisions No. 13-DCC-90 and No. 17-DCC-11, cited above.  </w:t>
        <w:br/>
        <w:t xml:space="preserve">3 See notably decisions of the Commission COMP/M.1221 of February 3, 1999, Rewe/Meinl and COMP/M.1684, cited above. See also  </w:t>
        <w:br/>
        <w:t xml:space="preserve">the letter from the minister C2008-32 of July 9, 2008, Carrefour/SAGC and the decision of the Competition Authority No. 09-DCC-50 of  </w:t>
        <w:br/>
        <w:t xml:space="preserve">October 1, 2009, regarding the acquisition of the Team Ouest group by France Frais and decision No. 13-DCC-90, cited above.  </w:t>
        <w:br/>
        <w:t xml:space="preserve">4 See the Commission decision COMP/M.1221 cited above.  </w:t>
        <w:br/>
        <w:t xml:space="preserve">5 See notably decisions No. 13-DCC-90 and No. 17-DCC-11 cited above, as well as decisions of the Competition Authority No. 15-DCC-80 of  </w:t>
        <w:br/>
        <w:t xml:space="preserve">June 26, 2015, regarding the acquisition by Pomona SA of eight members of the Relais d’Or Miko network and the company Lux Frais and  </w:t>
        <w:br/>
        <w:t xml:space="preserve">No. 15-DCC-141 of October 27, 2015, regarding the exclusive control of Davigel by Bain Capital.  </w:t>
        <w:br/>
        <w:t xml:space="preserve">6 See opinions No. 97-A-14 and No. 98-A-06 cited above, the opinion of the Competition Authority No. 15-A-06 of March 31, 2015, regarding the  </w:t>
        <w:br/>
        <w:t>merger of purchasing and referencing centers in the retail sector and decision No. 17-DCC-11, cited above.</w:t>
      </w:r>
    </w:p>
    <w:p>
      <w:r>
        <w:rPr>
          <w:b/>
        </w:rPr>
        <w:t>[Pages 4–6]</w:t>
      </w:r>
    </w:p>
    <w:p>
      <w:r>
        <w:t xml:space="preserve">14. With regard to the overseas departments and regions (hereinafter, "DROM"), the Competition Authority emphasized the specific nature of the supply chains for consumer goods and its effects on the competitive balance of the relevant markets7. Furthermore, part of the supply for retail chains with a food dominance comes from local producers, in order to meet local tastes and dietary habits, but also to limit import costs, including maritime freight and customs duties. The geographical markets for supply could therefore be limited to each DROM, on the one hand, and to the Antilles-Guyana zone, on the other hand8.  </w:t>
        <w:br/>
        <w:t xml:space="preserve">15. In this case, the parties are simultaneously active in the Antilles-Guyana zone and, more specifically, in Martinique.  </w:t>
        <w:br/>
        <w:t xml:space="preserve">B. WHOLESALE MARKETS FOR FOOD AND NON-FOOD PRODUCTS DESTINED FOR GSA  </w:t>
        <w:br/>
        <w:t xml:space="preserve">1. PRODUCT MARKETS  </w:t>
        <w:br/>
        <w:t xml:space="preserve">16. Due in particular to the strong specialization of wholesalers-importers in the DROM, the Competition Authority has adopted a segmentation of the wholesale distribution markets for food and non-food products destined for GSA by major product families (beverages, fresh products, dry products, frozen products, perishable self-service products, drugstore-cosmetics-hygiene, etc.)9.  </w:t>
        <w:br/>
        <w:t xml:space="preserve">17. In the context of GBH's activity as a wholesaler-importer and the simultaneous presence of the parties in the downstream markets of retail distribution with a food dominance, the vertical effects of the operation will be examined in these markets.  </w:t>
        <w:br/>
        <w:t xml:space="preserve">2. GEOGRAPHICAL MARKETS  </w:t>
        <w:br/>
        <w:t xml:space="preserve">18. The Competition Authority considered the existence of a wholesale distribution market for GSA at the level of each DROM or the Antilles-Guyana zone, corresponding to the activity of wholesalers-importers10. The specificity of this supply chain and its essential nature in supplying GSA in the DROM argue for a wholesale distribution market for food and non-food products to be recognized for each DROM11.  </w:t>
        <w:br/>
        <w:t xml:space="preserve">19. In this case, the competitive analysis will be conducted at the level of Martinique, with the competitive conclusions remaining unchanged at the level of the Antilles-Guyana zone12.  </w:t>
        <w:br/>
        <w:t xml:space="preserve">C. DOWNSTREAM MARKETS OF RETAIL DISTRIBUTION WITH A FOOD DOMINANCE  </w:t>
        <w:br/>
        <w:t xml:space="preserve">1. PRODUCT MARKETS  </w:t>
        <w:br/>
        <w:t xml:space="preserve">20. The Competition Authority distinguished six categories of commerce using several criteria, notably the size of the stores, their sales techniques, their accessibility, the nature of the service provided, and the extent of the product ranges offered: (i) hypermarkets (legal sales area greater than 2,500 m²), (ii) supermarkets (between 400 and 2,500 m²), (iii) specialized trade, (iv) small retail trade or convenience stores (less than 400 m²), (v) maxi discounters, and (vi) mail-order sales13.  </w:t>
        <w:br/>
        <w:t xml:space="preserve">21. In this case, the target store, which currently has a sales area of 3,100 m², which can be increased to 4,795 m² following an authorization from the departmental commission for land use planning (hereinafter, "CDAC"), still valid and free of any appeal, falls into the category of hypermarkets.  </w:t>
        <w:br/>
        <w:t xml:space="preserve">22. However, the Competition Authority considers that the criterion of sales area must be used with caution and may be adapted to each specific case when circumstances justify it: stores whose area is close to one of the thresholds defined above, either below or above, may thus find themselves in direct competition with stores of another category14.  </w:t>
        <w:br/>
        <w:t xml:space="preserve">23. Furthermore, while each category of store retains its specificity, asymmetric competition may exist between certain of these categories. The Competition Authority has thus distinguished:  </w:t>
        <w:br/>
        <w:t xml:space="preserve">− a market comprising only hypermarkets; and  </w:t>
        <w:br/>
        <w:t xml:space="preserve">− a market comprising supermarkets and equivalent forms of commerce (hypermarkets, hard discount, and popular stores), excluding small retail trade15.  </w:t>
        <w:br/>
        <w:t xml:space="preserve">24. Moreover, the Competition Authority noted that while the service provided overall by hypermarkets (diversity of products, depth of ranges, accessibility, low prices) is specific and is not provided by any other form of commerce, the size criterion that determines, between supermarkets and hypermarkets, the extent of the assortment of ranges must be used with caution in each case16. It is therefore also necessary to take into account the conditions under which the market actually operates and notably the fact that, in a number of geographical configurations, a hypermarket may be habitually used by some consumers as a convenience store, in substitution for a supermarket. Conversely, the reverse is almost never verified, and it is even less so as the sales area of the hypermarket in question is large.  </w:t>
        <w:br/>
        <w:t xml:space="preserve">2. GEOGRAPHICAL MARKETS  </w:t>
        <w:br/>
        <w:t xml:space="preserve">25. The Competition Authority considers that depending on the size of the stores concerned, the conditions of competition are generally assessed over two different areas:  </w:t>
        <w:br/>
        <w:t xml:space="preserve">− a first area ("primary zone") where consumer demand meets the supply of hypermarkets that they can access in less than 30 minutes by car and which are, from their point of view, substitutable for each other;  </w:t>
        <w:br/>
        <w:t xml:space="preserve">− a second area ("secondary zone") where consumer demand meets the supply of supermarkets and other equivalent forms of commerce located within a 15-minute drive. These may include, in addition to supermarkets, hypermarkets located near consumers and discount stores.  </w:t>
        <w:br/>
        <w:t xml:space="preserve">26. In this case, since the target store falls into the category of hypermarkets, the competitive analysis will be conducted, on the one hand, on a market including hypermarkets located within a 30-minute driving distance from the target store and, on the other hand, on a market including supermarkets and equivalent forms of commerce located within a 15-minute driving distance from the target store.  </w:t>
        <w:br/>
        <w:t xml:space="preserve">27. However, other criteria, such as local specificities, may also be taken into account to assess the impact of a concentration on competition in the downstream retail distribution markets. Specifically regarding Martinique, the Competition Authority has already considered that the primary zone could correspond to the Foyal plain, that is, the conurbation comprising the municipalities of Fort-de-France, Schœlcher, and Le Lamentin, given the existence of a very dense transport network and the interpenetration of the catchment areas of the stores located there17. If such an approach were adopted in this case, the operation would not result in any overlap of activities between the parties, as the stores operated by GBH (Foyal plain) and the target hypermarket (Le Robert) are located in distinct geographical markets.  </w:t>
        <w:br/>
        <w:t xml:space="preserve">28. Nevertheless, the Competition Authority did not rule out the possibility that some stores located in the Foyal plain could exert competitive pressure on stores located in Le Robert. It noted that "The stores in the agglomerations closest to Fort-de-France, such as Ducos, Le Robert, and Le François, are however likely to be at least partially subject to competition from the larger stores in the Foyal plain."18 More recently19, it recognized the existence of a primary market corresponding to hypermarkets located in the following municipalities: Fort-de-France, Schœlcher, Le Lamentin, Ducos, and Le Robert.  </w:t>
        <w:br/>
        <w:t>29. In this case, several competitors, who expressed themselves during the investigation, believe that the relevant market should include the municipalities of Le Robert and Ducos in the Foyal plain, particularly to the extent that there is a strong interconnection between the Foyal conurbation and these municipalities.</w:t>
      </w:r>
    </w:p>
    <w:p>
      <w:r>
        <w:rPr>
          <w:b/>
        </w:rPr>
        <w:t>[Pages 7–9]</w:t>
      </w:r>
    </w:p>
    <w:p>
      <w:r>
        <w:t xml:space="preserve">30. The notifying party, however, contests this approach based on a geographical examination of the location of the concerned stores and an economic study which notably shows that consumers of the target hypermarket only marginally visit hypermarkets located in the municipalities of Fort-de-France and Ducos.  </w:t>
        <w:br/>
        <w:t xml:space="preserve">31. Thus, according to the notifying party, the distance and road traffic conditions between the Foyal plain and Le Robert would discourage residents of the Foyal plain from going to the stores in Le Robert, as illustrated by the map below, provided by the notifying party.  </w:t>
        <w:br/>
        <w:t xml:space="preserve">32. Furthermore, the clientele of the target hypermarket is strongly concentrated around its municipality of location (Le Robert) and the neighboring municipalities, on the northern slope of the island ([70-80] %).  </w:t>
        <w:br/>
        <w:t>33. In this case, the question of the exact delimitation of the primary area can, however, be left open, as the conclusions of the competitive analysis, which take into account the commitments submitted by the notifying party, remain unchanged, regardless of the geographical market examined.</w:t>
      </w:r>
    </w:p>
    <w:p>
      <w:r>
        <w:t xml:space="preserve">III. Competitive Analysis  </w:t>
        <w:br/>
        <w:t xml:space="preserve">A. ANALYSIS OF HORIZONTAL EFFECTS  </w:t>
        <w:br/>
        <w:t xml:space="preserve">1. UPSTREAM SUPPLY MARKETS  </w:t>
        <w:br/>
        <w:t xml:space="preserve">a) At the national level  </w:t>
        <w:br/>
        <w:t xml:space="preserve">34. In the upstream supply markets, the operation, which concerns the change of control of a single store under a competing brand (Géant Casino), is not likely to significantly strengthen GBH's purchasing power (supplied by the Carrefour group), across all products combined, as well as by families or groups of products.  </w:t>
        <w:br/>
        <w:t xml:space="preserve">35. In the GSA channel, GBH is present both for the supply of its 24 food-dominant stores20 and through its wholesale-importer activity, via several subsidiaries established in Martinique, Guadeloupe, Guyana, and Réunion, and its own purchasing center in mainland France, Bamappro.  </w:t>
        <w:br/>
        <w:t xml:space="preserve">36. The strengthening of its purchasing power due to the operation remains limited, as the purchasing share of the target hypermarket represents only [0-5] % of the total supplies in France. In any case, following the operation, regardless of the segmentation considered, GBH's purchasing share will remain below 5 % in these markets.  </w:t>
        <w:br/>
        <w:t xml:space="preserve">37. If we consider the upstream supply market for private label "Carrefour" products from the purchasing center of the brand, the operation is also not likely to significantly strengthen GBH's purchasing power. Indeed, the amount of purchases made by the target hypermarket in private label products (Casino) represents [0-5] % of its total purchases and its sales of private label products do not exceed [10-20] % of its total sales. GBH stores achieve [5-10] % of their sales with private label products (Carrefour). If the target maintained this last ratio, it would only marginally strengthen GBH's weight in the purchases of Carrefour private label products. Finally, generally speaking, as the Competition Authority pointed out in 200921, it is worth recalling the low role played by private label products in the competitive dynamics of domestic markets.  </w:t>
        <w:br/>
        <w:t xml:space="preserve">b) At the local level  </w:t>
        <w:br/>
        <w:t xml:space="preserve">38. Across all distribution channels, the market shares of the new entity in the upstream supply markets, as a buyer, are below 25 %, regardless of the families and groups of products and the geographical delimitation retained.  </w:t>
        <w:br/>
        <w:t xml:space="preserve">39. The new entity will hold an estimated overall market share of [20-30] % ([10-20] % for GBH; [5-10] % for the target hypermarket) at the level of Martinique and [10-20] % ([10-20] % for GBH; [0-5] % for the target hypermarket) at the level of the Antilles-Guyana zone.  </w:t>
        <w:br/>
        <w:t xml:space="preserve">40. In the markets intended for GSA, the new entity will hold an estimated overall market share of [20-30] % ([10-20] % for GBH; [5-10] % for the target hypermarket) at the level of Martinique and [10-20] % ([10-20] % for GBH; [0-5] % for the target hypermarket) at the level of the Antilles-Guyana zone.  </w:t>
        <w:br/>
        <w:t xml:space="preserve">41. In accordance with the market delimitations considered, it is also necessary to examine whether the operation is likely to strengthen GBH's purchasing power by families and groups of products.  </w:t>
        <w:br/>
        <w:t xml:space="preserve">42. The guidelines regarding the control of concentrations indicate: "A concentration operation may strengthen the purchasing power of the newly created company to the point of putting its suppliers in a situation of economic dependence. [...] This type of examination is particularly carried out for operations occurring in the retail sector."22  </w:t>
        <w:br/>
        <w:t xml:space="preserve">43. In this case, the purchases made by the parties mainly concern the families of fresh products and consumer goods.  </w:t>
        <w:br/>
        <w:t xml:space="preserve">44. In Martinique, regarding the family of fresh products, the notifying party estimates that the market share of the new entity as a buyer of these products will rise to [20-30] % ([10-20] % for GBH; [5-10] % for the target hypermarket).  </w:t>
        <w:br/>
        <w:t xml:space="preserve">45. Regarding the family of consumer goods, this market share is estimated at less than 20 %, with an increment of less than [0-5] points.  </w:t>
        <w:br/>
        <w:t xml:space="preserve">46. More specifically regarding the categories of products distributed locally, the analysis will be conducted, in accordance with decision-making practice, on the six groups of products that concentrate 80 % of the local purchases of each of the parties and on which the operation is likely to have the most impact: liquid products, dry grocery, drugstore, perfumery-hygiene, perishable products in self-service, and fruits and vegetables23.  </w:t>
        <w:br/>
        <w:t xml:space="preserve">47. Thus, concerning the local supply markets of national or local brand products in Martinique, the market shares of the new entity will be as follows:  </w:t>
        <w:br/>
        <w:t xml:space="preserve">Product Groups GBH Target Hypermarket New Entity  </w:t>
        <w:br/>
        <w:t xml:space="preserve">Liquids [10-20] % [0-5] % [20-30] %  </w:t>
        <w:br/>
        <w:t xml:space="preserve">Dry Grocery [10-20] % [5-10] % [20-30] %  </w:t>
        <w:br/>
        <w:t xml:space="preserve">Drugstore [10-20] % [5-10] % [20-30] %  </w:t>
        <w:br/>
        <w:t xml:space="preserve">Perfumery-Hygiene [10-20] % [0-5] % [10-20] %  </w:t>
        <w:br/>
        <w:t xml:space="preserve">Perishable Products [10-20] % [5-10] % [20-30] %  </w:t>
        <w:br/>
        <w:t xml:space="preserve">Fruits and Vegetables [10-20] % [0-5] % [20-30] %  </w:t>
        <w:br/>
        <w:t xml:space="preserve">48. In the Antilles-Guyana zone, the market shares of the new entity are systematically lower than those observed in Martinique.  </w:t>
        <w:br/>
        <w:t xml:space="preserve">22 See the guidelines of the Competition Authority regarding the control of concentrations, §499 and 500.  </w:t>
        <w:br/>
        <w:t>23 A similar approach was followed by the Competition Authority in the examination of previous concentration operations. See decisions n° 11-DCC-134 and n° 13-DCC-43, cited above.</w:t>
      </w:r>
    </w:p>
    <w:p>
      <w:r>
        <w:rPr>
          <w:b/>
        </w:rPr>
        <w:t>[Pages 10–12]</w:t>
      </w:r>
    </w:p>
    <w:p>
      <w:r>
        <w:t>49. This strengthening, even if limited, of GBH's purchasing power at the local level, resulting from the addition of the market shares of the target hypermarket, occurs in markets where the supply sector is much less concentrated than the demand sector. Indeed, in the supply markets in Martinique, six distribution groups24 operate almost all of the GSA and address a very large number of local producers and wholesale-importers, of varying sizes, more or less specialized in a family of products, whether or not linked to a distribution group.</w:t>
      </w:r>
    </w:p>
    <w:p>
      <w:r>
        <w:t>50. According to the decision-making practice of competition authorities, the risk of economic dependence is assessed in particular with regard to the share that a market outlet represents in the total sales of the supplier. Competition authorities consider that there is a "threshold of threat" beyond which the survival of the manufacturer may be called into question, the disappearance of this outlet placing the supplier in a financially difficult situation, which can sometimes lead to bankruptcy. However, the level of this threshold is not fixed and depends on a large number of specific parameters according to the sectors concerned, the structure and financial situation of the companies, the existence and cost of potential alternative solutions25.</w:t>
      </w:r>
    </w:p>
    <w:p>
      <w:r>
        <w:t>51. When examining a concentration operation in the retail distribution sector with a food dominance26, the European Commission estimated the threshold at 22% beyond which a producer cannot replace the loss of a customer without suffering considerable financial losses, knowing that switching to other distribution channels (GSS, for example) can prove costly, difficult, or even impossible.</w:t>
      </w:r>
    </w:p>
    <w:p>
      <w:r>
        <w:t>52. In this case, this threshold of 22% has been retained for the purposes of this investigation, the small size of the territory of Martinique further limiting the search for new outlets for local suppliers.</w:t>
      </w:r>
    </w:p>
    <w:p>
      <w:r>
        <w:t>53. According to the analysis conducted by the notifying party after identifying the main common suppliers to the parties, seven local producers and thirteen wholesalers among these common suppliers, who are most likely to see their business flow increase with the new entity and thus be placed in a situation of economic dependence due to the operation, would generate more than 22% of their sales with the new entity:</w:t>
        <w:br/>
        <w:t>Local Producers Share of sales Share of sales Share of sales</w:t>
        <w:br/>
        <w:t>to the target to GBH to the</w:t>
        <w:br/>
        <w:t>new entity</w:t>
        <w:br/>
        <w:t>[Confidential] [0-5] % [20-30] % [20-30] %</w:t>
        <w:br/>
        <w:t>[Confidential] [0-5] % [20-30] % [20-30] %</w:t>
        <w:br/>
        <w:t>[Confidential] [0-5] % [40-50] % [50-60] %</w:t>
        <w:br/>
        <w:t>[Confidential] [0-5] % [20-30] % [20-30] %</w:t>
        <w:br/>
        <w:t>[Confidential] [0-5] % [20-30] % [20-30] %</w:t>
        <w:br/>
        <w:t>[Confidential] [0-5] % [40-50] % [40-50] %</w:t>
        <w:br/>
        <w:t>[Confidential] [0-5] % [20-30] % [20-30] %</w:t>
        <w:br/>
        <w:t>24 The groups GBH, SAFO, Ho Hio Hen, Parfait, Fabre, and Fernand Ho Hio Hen.</w:t>
        <w:br/>
        <w:t>25 See the aforementioned guidelines, §499 to 504.</w:t>
        <w:br/>
        <w:t>26 See decision M.1221, cited above.</w:t>
      </w:r>
    </w:p>
    <w:p>
      <w:r>
        <w:t>Wholesalers Share of sales Share of sales Share of sales</w:t>
        <w:br/>
        <w:t>to the target to GBH to the</w:t>
        <w:br/>
        <w:t>new entity</w:t>
        <w:br/>
        <w:t>[Confidential] [0-5] % [50-60] % [50-60] %</w:t>
        <w:br/>
        <w:t>[Confidential] [0-5] % [20-30] % [20-30] %</w:t>
        <w:br/>
        <w:t>[Confidential] [0-5] % [20-30] % [20-30] %</w:t>
        <w:br/>
        <w:t>[Confidential] [5-10] % [10-20] % [20-30] %</w:t>
        <w:br/>
        <w:t>[Confidential] [0-5] % [20-30] % [20-30] %</w:t>
        <w:br/>
        <w:t>[Confidential] [5-10] % [80-90] % [90-100] %</w:t>
        <w:br/>
        <w:t>[Confidential] [0-5] % [20-30] % [20-30] %</w:t>
        <w:br/>
        <w:t>[Confidential] [0-5] % [20-30] % [20-30] %</w:t>
        <w:br/>
        <w:t>[Confidential] [5-10] % [50-60] % [50-60] %</w:t>
        <w:br/>
        <w:t>[Confidential] [0-5] % [20-30] % [20-30] %</w:t>
        <w:br/>
        <w:t>[Confidential] [0-5] % [20-30] % [30-40] %</w:t>
        <w:br/>
        <w:t>[Confidential] [0-5] % [30-40] % [30-40] %</w:t>
        <w:br/>
        <w:t>[Confidential] [0-5] % [20-30] % [20-30] %</w:t>
        <w:br/>
        <w:t>54. Thus, out of the twenty main common suppliers to the parties, fifteen of them were already placed in a situation of economic dependence as they generated more than 22% of their sales with GBH.</w:t>
      </w:r>
    </w:p>
    <w:p>
      <w:r>
        <w:t>55. For the other five suppliers, the target hypermarket represented only a limited outlet as these purchases accounted for at most [5-10]% of their turnover.</w:t>
      </w:r>
    </w:p>
    <w:p>
      <w:r>
        <w:t>56. Furthermore, it should be noted that of the 31 suppliers who responded to the market test launched during the investigation, only six expressed their concerns about the adverse consequences resulting from this concentration operation.</w:t>
      </w:r>
    </w:p>
    <w:p>
      <w:r>
        <w:t>57. Among these six respondents, one is the Martinique subsidiary of an international group with diverse activities whose economic viability could ultimately not be compromised by this operation. Moreover, three other respondents are subsidiaries belonging to the same group, which is very active in the Antilles-Guyana area and whose economic viability could not be called into question due to this operation.</w:t>
      </w:r>
    </w:p>
    <w:p>
      <w:r>
        <w:t>58. Consequently, only two suppliers of the parties, who responded to the market test, are likely, based on these responses, to be placed in a situation of economic dependence with respect to the new entity.</w:t>
      </w:r>
    </w:p>
    <w:p>
      <w:r>
        <w:t>59. In any case, as noted by the Competition Council in its opinion of 199727, in the event that a concentration operation results in placing in a situation of economic dependence with respect to the new company resulting from the concentration a single supplier or a small number of them, this circumstance alone would be insufficient to justify a prohibition or a challenge to the operation.</w:t>
      </w:r>
    </w:p>
    <w:p>
      <w:r>
        <w:t>27 Opinion No. 97-A-04, cited above.</w:t>
      </w:r>
    </w:p>
    <w:p>
      <w:r>
        <w:t>The apprehension of individual cases of abuse of economic dependence falls, as recalled by the Competition Authority in its 2015 opinion on purchasing centers28, under the jurisdiction of the DGCCRF regarding the rules on restrictive commercial practices, and in particular Article L. 442-6 of the Commercial Code.</w:t>
      </w:r>
    </w:p>
    <w:p>
      <w:r>
        <w:t>60. Furthermore, as specified in the guidelines on the control of concentrations, "In itself, economic dependence constitutes a harm to competition only if it has an effect on competition in a market and, ultimately, on consumer surplus, and not simply on a supplier, insofar as the objective of competition authorities is not to protect a company as such, whether it is a competitor, customer, or supplier."29 It follows that a concentration operation can only harm competition if the creation or strengthening of a state of economic dependence of the suppliers of the parties to the operation risks affecting the structure or functioning of competition in the relevant markets.</w:t>
      </w:r>
    </w:p>
    <w:p>
      <w:r>
        <w:t>61. In this case, GBH's position as a buyer in the upstream supply markets is only very slightly strengthened by the operation. Moreover, the risk of creating or strengthening a state of economic dependence concerns only a very small number of suppliers. It follows that the operation is not likely to harm competition by creating or strengthening GBH's purchasing power as a result of the operation.</w:t>
      </w:r>
    </w:p>
    <w:p>
      <w:r>
        <w:t xml:space="preserve">2. DOWNSTREAM MARKETS OF RETAIL DISTRIBUTION WITH A FOOD DOMINANCE  </w:t>
        <w:br/>
        <w:t xml:space="preserve">a) Framework for analyzing the competitive structure of downstream markets of retail distribution with a food dominance  </w:t>
        <w:br/>
        <w:t>62. In accordance with the decision-making practice of the Competition Authority and the case law of the Council of State30, the integration of franchised stores into the activity perimeter of the franchisor group depends on the degree of commercial autonomy granted to the franchisees. The Competition Authority has notably considered that the following criteria allow inferring the absence of autonomy of the members of a franchise network: (i) the possibility for the head of the network to set maximum prices for its members affecting the freedom of the member to set its prices independently, (ii) the supply obligations of members to the group for a significant share of their purchases, (iii) the obligation to comply with preemption, substitution, and preference clauses in favor of the group in the event of the sale of their store outside the family perimeter, (iv) the obligation to participate in a certain number of promotional operations per year, during which members must sell the products at the price indicated in the advertising documents, (v) the obligation to reference more than 50% of the product lines of the head of the network, (vi) the prohibition of modifying a point of sale without the franchisor's authorization, (vii) the more or less long duration of contracts.</w:t>
      </w:r>
    </w:p>
    <w:p>
      <w:r>
        <w:t>63. In this case, the franchise contracts for the stores operated under the Carrefour brand in Martinique have a relatively long duration (a minimum of five years, renewable).</w:t>
      </w:r>
    </w:p>
    <w:p>
      <w:r>
        <w:rPr>
          <w:b/>
        </w:rPr>
        <w:t>[Pages 13–15]</w:t>
      </w:r>
    </w:p>
    <w:p>
      <w:r>
        <w:t>tacitly). They also include several provisions restricting the commercial autonomy of franchisees. Indeed, despite the absence of communication of recommended or suggested prices, franchisees remain obliged to adhere to a low pricing policy. Price surveys may also be conducted by the franchisor to verify compliance with this element that constitutes the brand image of Carrefour. Furthermore, franchisees cannot affiliate with other purchasing centers than those of Carrefour and must respect the product assortment developed by Carrefour while taking "the greatest account" of the franchisor's recommendations in this regard. In this respect, they are for example required to regularly communicate the breakdown of their turnover by sector and by department. Franchisees are also required to implement the communication and advertising plans developed by the franchisor, dedicating an adequate budget that the franchisor can assess. Moreover, the contracts specify that it is essential for the franchisor and franchisees to apply the same "commercial philosophy": differences must only originate from the local specificities of each store, it being understood that these will be studied with the franchisor to develop their integration into the store's operation. The rare provisions allowing some leeway for the franchisee in defining the commercial policy are always supplemented by a provision indicating that the franchisor remains competent to verify that the position adopted by the franchisee is not incompatible with the brand image of Carrefour. Finally, the franchisor benefits from a right of first refusal that allows it to have "absolute priority" to carry out, or have carried out, the operation of repurchasing the franchised business, should it decide to exercise its right of preference.</w:t>
      </w:r>
    </w:p>
    <w:p>
      <w:r>
        <w:t>64. It should also be noted that members affiliated with purchasing centers have sometimes been considered autonomous. For example, in the case of the concentration operation Carrefour/Dia31, the Proxi affiliates who benefited from trademark and supply license contracts with Carrefour were considered autonomous from their network head, insofar as the license contract only provided for "priority" supply from Carrefour and a right of preference in favor of the latter in the event of a transfer. No pricing framework, nor obligation of referencing, nor obligation to participate in communication or promotional operations of Carrefour were provided. These clauses were deemed insufficient to conclude the absence of commercial autonomy of the Proxi affiliates vis-à-vis Carrefour.</w:t>
      </w:r>
    </w:p>
    <w:p>
      <w:r>
        <w:t>65. It follows from all these observations and considerations that the clauses of the Carrefour franchisee contracts in Martinique are likely to restrict the commercial autonomy of franchisees vis-à-vis their network head.</w:t>
      </w:r>
    </w:p>
    <w:p>
      <w:r>
        <w:t>66. The competitive analysis will therefore be conducted at the level of the Carrefour brand, and not by franchised group.</w:t>
      </w:r>
    </w:p>
    <w:p>
      <w:r>
        <w:t xml:space="preserve">b) Competitive Analysis  </w:t>
        <w:br/>
        <w:t xml:space="preserve">Methodological Introduction  </w:t>
        <w:br/>
        <w:t xml:space="preserve">67. The operation allows GBH to acquire the Géant Casino hypermarket in the Océanis shopping center located in the municipality of Robert, as well as its shopping gallery.  </w:t>
        <w:br/>
        <w:t xml:space="preserve">68. Market shares have been calculated, in accordance with decision-making practice, based on the sales area estimates provided by the notifying party.  </w:t>
        <w:br/>
        <w:t xml:space="preserve">69. In this case, the target hypermarket, with a current commercial area of 3,100 m², however benefits from an extension authorization to 4,795 m². As indicated above (Cf § 21), the project for the extension of the sales area has obtained an authorization that is still valid and free of any appeal, the competitive analysis will be conducted taking into account the maximum potential commercial area of the target hypermarket.  </w:t>
        <w:br/>
        <w:t xml:space="preserve">On the downstream market including hypermarkets, supermarkets, and equivalent forms of commerce located in a catchment area corresponding to a 15-minute drive radius around the target hypermarket ("secondary zone")  </w:t>
        <w:br/>
        <w:t xml:space="preserve">70. In this area, there are two Carrefour Market supermarkets operated by the SAFO group (together representing [20-30] % of the sales areas in the zone), an Ecomax store operated by HHH ([5-10] %), a Leader Price store operated by the Fabre group ([10-20] %), and the target hypermarket currently operated under the Géant Casino brand by HHH ([50-60] %).  </w:t>
        <w:br/>
        <w:t xml:space="preserve">71. It should be noted that the target hypermarket is, in this area, the only hypermarket. It already held, before the operation, more than 50 % market share and the Casino brand, via HHH, had, before the operation, a market share of [50-60] %. Furthermore, GBH is not currently active in this area where three independent operators operate the brands of two network heads (Carrefour and Casino through the Géant Casino, Ecomax, and Leader Price brands). From this perspective, the operation increases the number of independent operators in this area (SAFO group, Fabre group, HHH, and GBH) who will continue to operate the brands of Carrefour and Casino.  </w:t>
        <w:br/>
        <w:t xml:space="preserve">72. However, the operation will strengthen, in this area, the Carrefour brand as it will increase from [20-30] % of the sales areas to [80-90] % following the operation. Against the three Carrefour-branded outlets, the consumer will only have the offer of two stores under hard discount brands, with a commercial area of 525 m² (Ecomax) and 1,082 m² (Leader Price).  </w:t>
        <w:br/>
        <w:t xml:space="preserve">73. According to the notifying party, it should be noted that the estimated market shares by brand should be relativized as the two Carrefour franchisees are independent companies operating different store formats. Indeed, GBH could operate, following the operation, only one hypermarket under the Carrefour brand, while the SAFO group currently operates two supermarkets under the Carrefour Market brand. However, according to the notifying party, the product offering structure of a hypermarket is different from that of a supermarket, particularly regarding the offering of non-food products (textiles, household appliances, parapharmacy, etc.). The number of available references and the range of products offered are much broader in a hypermarket than in a supermarket. The number of services offered is also often very different depending on the store formats.  </w:t>
        <w:br/>
        <w:t xml:space="preserve">74. Furthermore, the notifying party claims that there is strong competition between the two Carrefour franchisees in the DROM and that the operation will thus have a pro-competitive effect by allowing the establishment of a new operator in an area where it was not present and in which it would be able to practice prices lower than those of the target hypermarket. The notifying party has provided in this regard price indices that show, at the level of Martinique, that the price positioning of its hypermarkets is indeed lower than that of Géant Casino stores.  </w:t>
        <w:br/>
        <w:t xml:space="preserve">75. Nevertheless, the elements provided by the notifying party during the investigation were not considered sufficiently convincing to rule out any risk of harm to competition, so that the very high market share attributed to the Carrefour brand ([80-90] %) is, in itself, likely to confer to the Carrefour group an uncontestable market power in the secondary zone.  </w:t>
        <w:br/>
        <w:t xml:space="preserve">76. Moreover, the operation has the effect of reducing the number of competing brands present in the area from three to two or from four to three depending on whether HHH and the Fabre group have or do not have commercial autonomy vis-à-vis their network head Casino for the operation of their stores under the Ecomax and Leader Price brands32. However, during a previous concentration operation in the food retail distribution sector in Martinique in 201233, the Competition Authority had considered that the disappearance of one competitor out of four and one brand was likely to harm competition by leading to a reduction in the diversity of the offer and a decrease in competitive pressure on prices.  </w:t>
        <w:br/>
        <w:t xml:space="preserve">77. Given these elements, the operation is likely to harm competition in the secondary zone of the target hypermarket.  </w:t>
        <w:br/>
        <w:t xml:space="preserve">78. On July 18, 2018, the notifying party, however, submitted a commitment, presented in section IV, to remedy the identified anti-competitive risks.  </w:t>
        <w:br/>
        <w:t xml:space="preserve">On the downstream market including hypermarkets located in a catchment area corresponding to a 30-minute drive radius around the target hypermarket ("primary zone")  </w:t>
        <w:br/>
        <w:t xml:space="preserve">79. In this area, GBH operates three Carrefour hypermarkets, located respectively in Ducos34, Fort-de-France35, and Schœlcher36. Following the operation, the market share of the Carrefour brand will increase from [30-40] % to [50-60] % of the sales areas of hypermarkets in the primary zone. GBH will operate four of the eight hypermarkets in this area.  </w:t>
        <w:br/>
        <w:t xml:space="preserve">80. However, the notifying party estimates that the market share of the new entity would actually be below 50 % ([40-50] %) as it considers, in addition to the fact that the current area of the target hypermarket is less than that retained by the Competition Authority for the purposes of the competitive analysis, that the hypermarket it operates in Schœlcher is located outside the defined primary zone. It indeed estimates that it takes between 31 minutes and more than 35 minutes, depending on traffic conditions, to drive between the hypermarkets in Schœlcher and Robert.  </w:t>
        <w:br/>
        <w:t>81. In this area, the Carrefour brand will still face competition from the U brand ([40-50] %) and the Casino brand ([5-10] %). Indeed, the Parfait group operates three hypermarkets.</w:t>
      </w:r>
    </w:p>
    <w:p>
      <w:r>
        <w:rPr>
          <w:b/>
        </w:rPr>
        <w:t>[Pages 16–18]</w:t>
      </w:r>
    </w:p>
    <w:p>
      <w:r>
        <w:t xml:space="preserve">hypermarkets under the U brand located in Lamentin37 for two of them and in Fort-de-France38. Furthermore, HHH operates a Géant Casino hypermarket located in Schœlcher39.  </w:t>
        <w:br/>
        <w:t xml:space="preserve">82. Unlike the effects noted in the so-called "secondary" area, the operation does not have the effect of reducing the number of competing brands in this area since there will remain a Géant Casino hypermarket following the operation.  </w:t>
        <w:br/>
        <w:t xml:space="preserve">83. However, the operation is likely to strengthen Carrefour's position, which will become the leading brand in the primary area of the target hypermarket.  </w:t>
        <w:br/>
        <w:t xml:space="preserve">84. In a previous concentration operation in the retail distribution sector with a food dominance in Martinique40, the Competition Authority had considered that the disappearance of one out of four competing operators and one brand, resulting in the new entity having four hypermarkets out of nine totaling between 40% and 50% of the sales areas in the examined zone, was likely to harm competition.  </w:t>
        <w:br/>
        <w:t xml:space="preserve">85. However, in this case, Carrefour's strong position does not appear to be likely to significantly reduce competition in the primary area.  </w:t>
        <w:br/>
        <w:t xml:space="preserve">86. According to the notifying party, the target hypermarket and the hypermarkets operated by GBH would not be close competitors due to their geographical distance (each Carrefour hypermarket is located more than 18 km from the target, which corresponds to a minimum travel time of 22 minutes). Moreover, between the Carrefour hypermarkets and the target hypermarket, two competing hypermarkets under the U brand provide closer alternatives for consumers located near the target hypermarket. Thus, consumers from Robert who go to one of the Carrefour hypermarkets in the Foyal area must pass by the U hypermarkets and conversely, consumers from the Foyal plain who go to the target hypermarket must pass by the U hypermarkets, as illustrated by the map in paragraph 31 above. Therefore, these latter hypermarkets are the closest competitors, both to the acquirer's hypermarkets and to the target hypermarket.  </w:t>
        <w:br/>
        <w:t xml:space="preserve">87. Furthermore, according to the notifying party, the potential maximum common customer base between the parties would be very limited. According to an economic study submitted for the purposes of the investigation, the estimated maximum potential common customer base between the hypermarkets located in Dillon and Ducos and the target hypermarket is less than 10%. Thus, the overlap of activities between the parties would, in practice, be very limited. This conclusion is further reinforced by the analysis of the actual behavior of consumers of the target hypermarket based on their geographical origin41. The notifying party also provided the actual footprints of the hypermarkets located in Dillon and Ducos, which do not include the target hypermarket.  </w:t>
        <w:br/>
        <w:t xml:space="preserve">88. Moreover, the notifying party considers that the hypermarkets it operates have a much more favorable pricing position for consumers than that of the target hypermarket (see paragraph 74 above).  </w:t>
        <w:br/>
        <w:t xml:space="preserve">89. Finally, the notifying party emphasizes the counterfactual of the operation characterized by the financial difficulties faced by HHH, which was forced to sell the target hypermarket. These difficulties would notably be translated into supplier delays and stock shortages, and thus by a decrease in the quality and diversity of products currently offered to consumers.  </w:t>
        <w:br/>
        <w:t xml:space="preserve">90. Without it being necessary to rule on all the arguments put forward by the notifying party, the Competition Authority considers that the operation is not likely to lead to price increases, a deterioration in the quality of products or services provided to consumers, or a reduction in the offer.  </w:t>
        <w:br/>
        <w:t xml:space="preserve">91. Firstly, the operation does not result in the disappearance of a brand and therefore does not impoverish the offer to consumers.  </w:t>
        <w:br/>
        <w:t xml:space="preserve">92. Secondly, it will remain subject to competition from the former market leader, the U brand, which holds a significant market share ([40-50]%), particularly through the operation of two of the three largest hypermarkets in Martinique (6,700 m² and 5,730 m²).  </w:t>
        <w:br/>
        <w:t xml:space="preserve">93. Thirdly, although Carrefour's market share is indeed above 50%, it remains close to the threshold below which any competition issue is generally dismissed ([0-5] points). Furthermore, the Competition Authority can always refine its examination of the competitive conditions within the local market, taking into account, in particular, the characteristics of competing points of sale and their distance from the target store, as well as any potential border effects that may include new points of sale if they have significant sales areas42. In this case, the elements provided by the notifying party regarding the location of the primary sales hypermarkets, illustrated by the map in paragraph 31 above, as well as the actual footprint of the target hypermarket, show that the parties' stores are not the closest competitors.  </w:t>
        <w:br/>
        <w:t xml:space="preserve">94. Consequently, the operation is not likely to harm competition in the primary area of the target hypermarket.  </w:t>
        <w:br/>
        <w:t xml:space="preserve">95. In any case, the commitment submitted by the notifying party, analyzed in section IV below, is likely to eliminate any potential anticompetitive risk.  </w:t>
        <w:br/>
        <w:t xml:space="preserve">B. ANALYSIS OF VERTICAL EFFECTS  </w:t>
        <w:br/>
        <w:t xml:space="preserve">96. A vertical concentration can restrict competition by making access to the markets in which the new entity will be active more difficult, or even potentially driving competitors out of the market or penalizing them by increasing their costs. This lock-in can target downstream markets when the integrated company refuses to sell an input to its competing distributors, or upstream markets when the downstream branch of the integrated company refuses to purchase products from manufacturers, thereby reducing their commercial outlets. However, the decision-making practice of competition authorities generally considers that a risk of vertical or conglomerate effects can be dismissed as long as the market share of the company resulting from the operation in the relevant markets does not exceed 30%43.  </w:t>
        <w:br/>
        <w:t xml:space="preserve">97. As developed above, downstream, GBH operates three hypermarkets under the Carrefour brand in Martinique. The total area of these stores is 15,480 m², which represents [10-20]% of the sales areas in Martinique. The target Géant Casino hypermarket has a potential sales area of 4,795 m². Following the operation, the new entity will therefore hold [20-30]% of the sales areas of GSA in Martinique. Furthermore, in addition to Martinique, GBH is also active in retail distribution with a food dominance in other DROM, in the Antilles-Guyana zone. GBH is also active in the retail distribution of DIY, decoration and gardening items, sports and leisure items, and automobiles. However, the most significant addition of market shares of the parties is located in the markets for the supply of GSA in Martinique, which are primarily concerned by the operation.  </w:t>
        <w:br/>
        <w:t xml:space="preserve">98. Since GBH is present in the upstream supply markets as a rum producer and in the intermediate markets for wholesale distribution of food and non-food products, it is necessary to examine the potential vertical effects that the acquisition of the target hypermarket will entail.  </w:t>
        <w:br/>
        <w:t xml:space="preserve">1. BETWEEN THE UPSTREAM SUPPLY MARKETS AND THE DOWNSTREAM MARKETS OF RETAIL DISTRIBUTION WITH A FOOD DOMINANCE  </w:t>
        <w:br/>
        <w:t xml:space="preserve">99. GBH has a subsidiary active in the upstream market for the supply of liquid products, the company Héritiers Clément, which produces rum.  </w:t>
        <w:br/>
        <w:t xml:space="preserve">a) Customer access lock-in effect  </w:t>
        <w:br/>
        <w:t xml:space="preserve">100. Regarding the risk of customer access lock-in (or outlets), the strengthening, downstream, of a vertically integrated company makes it possible to implement a foreclosure strategy of outlets by this latter. In this case, GBH's competitors present at the supply stage of GSA in liquid products could thus be deprived of the purchases currently made by the target hypermarket and, potentially, be driven out of the market.  </w:t>
        <w:br/>
        <w:t xml:space="preserve">101. However, the new entity does not constitute an essential outlet since all of its stores will represent [20-30]% of liquid product purchases in Martinique. Rum producers will continue to have many alternatives to the new entity, as the acquisition of a single point of sale, which represents less than 5% of the food retail sales areas in Martinique, only strengthens the downstream position to a limited extent.  </w:t>
        <w:br/>
        <w:t xml:space="preserve">b) Input lock-in effect  </w:t>
        <w:br/>
        <w:t xml:space="preserve">102. Regarding the risk of lock-in by inputs, the vertical integration of a company that also supplies its competitors in the downstream markets makes it possible to implement a strategy aimed at depriving them of products necessary for their activity, either because they represent a significant share of their supply in a family or group of products, or because they are essential from the consumer's perspective.  </w:t>
        <w:br/>
        <w:t>103. In this case, the company Héritiers Clément generates [40-50]% of its turnover from exports and [50-60]% in Martinique. In the local market for the supply of liquid products, this company has a market share of less than [10-20]%.</w:t>
      </w:r>
    </w:p>
    <w:p>
      <w:r>
        <w:rPr>
          <w:b/>
        </w:rPr>
        <w:t>[Pages 19–21]</w:t>
      </w:r>
    </w:p>
    <w:p>
      <w:r>
        <w:t xml:space="preserve">104. This market share is also an increase. The target hypermarket sources from the company Héritiers Clément, prior to the operation, at a rate of [5-10] % of its liquid products, which represents [0-5] % of the turnover of the GBH subsidiary.  </w:t>
        <w:br/>
        <w:t xml:space="preserve">105. Given the specialization of the company Héritiers Clément in the production of a rum, which is neither a brand nor an essential product, the acquisition of the target hypermarket does not significantly strengthen GBH's vertical integration, and a scenario of input lock-in is not likely in the context of this operation.  </w:t>
        <w:br/>
        <w:t xml:space="preserve">106. The operation is therefore not likely to lead to vertical effects between the upstream market for the supply of liquid products and the downstream markets for retail distribution with a food dominance in Martinique.  </w:t>
        <w:br/>
        <w:t xml:space="preserve">2. BETWEEN THE WHOLESALE DISTRIBUTION MARKETS AND THE DOWNSTREAM MARKETS OF RETAIL DISTRIBUTION WITH A FOOD DOMINANCE  </w:t>
        <w:br/>
        <w:t xml:space="preserve">107. In addition to its downstream activity in the retail food distribution sector, GBH is also present in these markets as a wholesaler-importer through the companies Sodicar, Pamagel, and Héritiers Clément.  </w:t>
        <w:br/>
        <w:t xml:space="preserve">108. GBH also controls a purchasing center, Bamappro, based in Le Havre (76) and dedicated to commercial negotiation and the supply of the group's stores in the Antilles, Guyana, and Réunion. This company aims to centralize the logistics and purchases of GBH stores to ensure a more advantageous cost and negotiate better purchasing conditions with suppliers. In this context, Bamappro handles purchases, centralized negotiation of conditions with suppliers, as well as assortment management and deferred discounts. Although based in mainland France, [90-100] % of its turnover is generated by supplying GBH in the Antilles-Guyana zone.  </w:t>
        <w:br/>
        <w:t xml:space="preserve">109. Finally, GBH, through its subsidiary Somaudex, engages in a transport brokerage activity, which consists notably of negotiating freight conditions with shipping and airline companies, organizing the pickup of goods and managing their reception in warehouses, recovering and verifying the sanitary documents necessary for export, carrying out customs operations for export and import for part of the traffic, and managing the land logistics for the delivery of containers to the final customer. In 2017, GBH represented [60-70] % of the activity volume of the Somaudex group entities.  </w:t>
        <w:br/>
        <w:t xml:space="preserve">110. In the wholesale supply channel for GSA, GBH is primarily active in the product categories "dry grocery" and "drugstore-perfumery-hygiene," which represent more than 80 % of its turnover.  </w:t>
        <w:br/>
        <w:t xml:space="preserve">111. It is therefore necessary to assess whether GBH will be able, after the acquisition of the Géant Casino store, to foreclose its competitors in the wholesale distribution markets for food and non-food products by depriving them of the outlet represented by the purchases of the target hypermarket (customer access lock-in). The analysis will also focus on GBH's ability, bolstered by its position in the wholesale distribution markets, to restrict the supply to its competing distributors or to degrade their pricing conditions or quality (input foreclosure)44.  </w:t>
        <w:br/>
        <w:t xml:space="preserve">44 See the aforementioned guidelines, §444 and following, and the Commission's communication on the assessment of non-horizontal concentrations.  </w:t>
        <w:br/>
        <w:t xml:space="preserve">a) Customer access lock-in effect  </w:t>
        <w:br/>
        <w:t xml:space="preserve">112. In this case, GBH's competitors present at the wholesale supply stage of products, particularly food, in Martinique, and notably the wholesaler-importers, could be deprived of the purchases currently made by the target hypermarket and, potentially, be driven out of the market.  </w:t>
        <w:br/>
        <w:t xml:space="preserve">113. However, GBH's position, following the operation, in the downstream markets for retail distribution with a food dominance across Martinique ([20-30] % of sales areas) is not likely to allow the group to adopt a lock-in strategy that would have a significant effect on the supply market, particularly with respect to competing wholesaler-importers, and consequently makes the risk of eviction very unlikely. As recalled in paragraph 96 above, competition authorities consider a market share threshold of 30 % below which an operation is presumed not to harm competition through vertical effects.  </w:t>
        <w:br/>
        <w:t xml:space="preserve">114. Taking into account the total purchasing potential of the target hypermarket, including local and national purchases, in value, confirms this analysis. The parties estimated the purchases of this store at approximately […] million euros, representing about [5-10] % of the total market for supply expenditures of GSA in Martinique. If we consider the purchase amount of the target hypermarket from only wholesalers in Martinique, its purchase share in the local wholesale market for food and non-food products is less than [5-10] %.  </w:t>
        <w:br/>
        <w:t xml:space="preserve">115. By conducting an analysis on the product families in which GBH is primarily present as a wholesaler in the Martinican GSAs (which represent more than 80 % of its sales), namely dry grocery, drugstore, and bakery-pastry, it appears that, regardless of the product family, the purchases of the target hypermarket never represent more than [0-5] % of the market considered.  </w:t>
        <w:br/>
        <w:t xml:space="preserve">116. Thus, the situation will be very little different from the current one, given the very low weight of the target hypermarket in the wholesale distribution market as a buyer. The acquisition of the target hypermarket is not likely to enable GBH to implement a lock-in strategy for outlets that would have a significant effect on the wholesale supply market, particularly with respect to competing wholesaler-importers.  </w:t>
        <w:br/>
        <w:t xml:space="preserve">117. Furthermore, the Competition Authority notes that GBH has made a commitment to the interministerial committee for industrial restructuring ("CIRI") regarding the company Multigros, a wholesaler for HHH and a competitor of GBH in the wholesale supply markets. The CIRI indeed wished to ensure the continuation of Multigros's activity to ensure the sustainability of HHH, which is facing significant financial difficulties, as indicated in paragraph 89 above. GBH has thus committed to maintaining a purchase volume equivalent to that existing prior to the operation, notably through the target hypermarket, provided that [confidential]. This commitment, which the Competition Authority acknowledges, aims to ensure the continuity of Multigros's wholesaler activity, which generates [90-100] % of its turnover with HHH stores in Martinique, of which [30-40] % is with the target hypermarket. This supply commitment is limited to a duration of […] years and is not accompanied by any exclusivity.  </w:t>
        <w:br/>
        <w:t xml:space="preserve">b) Input lock-in effect  </w:t>
        <w:br/>
        <w:t xml:space="preserve">118. In this case, the risk faced by GBH's competing distributors in the downstream market is that they may be disadvantaged, compared to the stores operated by GBH, in their relations with GBH, acting as a wholesaler.  </w:t>
        <w:br/>
        <w:t xml:space="preserve">119. In a market for all products (including sales made by Bamappro), GBH's market share in Martinique in the wholesale supply market is estimated at [10-20] %. In the drugstore-parapharmacy-hygiene segment, GBH's market share is [10-20] %. In the dry grocery segment, which is the food product category with the highest market share, GBH's position rises to [30-40] %. However, this market share is reduced to [20-30] % in a market that does not restrict itself to wholesaler-importers alone, but also includes local producers and national suppliers.  </w:t>
        <w:br/>
        <w:t xml:space="preserve">120. These market shares remain, with one exception in a product category, below the 30 % threshold that presumes the absence of competition issues related to vertical integration.  </w:t>
        <w:br/>
        <w:t xml:space="preserve">121. This risk of input lock-in for GBH's competitors has already been analyzed by the Competition Authority during a previous concentration operation45 in which GBH was already the acquirer of a hypermarket. This operation was authorized subject to commitments given the anticompetitive risks associated with the strengthening of GBH's vertical integration.  </w:t>
        <w:br/>
        <w:t xml:space="preserve">122. Indeed, given the essential role of wholesaler-importers, the Competition Authority did not rule out the risk that GBH could influence the conditions of competition upstream for the products it distributes. More specifically, it did not rule out a risk of lock-in of access to commercial cooperation. Indeed, in the case of the DROM, national suppliers grant their wholesaler intermediaries annual commercial cooperation budgets, distinct from the discounts they may grant them based on the volumes purchased. These budgets are then allocated by the wholesaler to its various client brands based on the commercial cooperation services they commit to implement on behalf of the supplier. Some respondents to the market test had reported GBH's ability to favor its own stores in the allocation of commercial cooperation budgets and to also know the promotional schedule of its downstream competitors for the products it distributes, thus being able to opportunely organize counter-promotions.  </w:t>
        <w:br/>
        <w:t xml:space="preserve">123. To eliminate any risk of harming competition, GBH had made commitments preventing it from using its position as a wholesaler-importer to obstruct a lock-in of access to the commercial cooperation budgets of its competitors. These commitments were made for a duration of three years, renewable once in light of the evolution of the economic and competitive context of the market46.  </w:t>
        <w:br/>
        <w:t xml:space="preserve">124. In 2014, the Competition Authority re-examined the competitive conditions in these markets. It found that the competition concerns identified in the 2011 decision, related to the allocation of commercial cooperation budgets, remained. The re-examination of the commitments notably showed that the commitments made by GBH had allowed for a better allocation of these budgets and that their maintenance was necessary to ensure an effective competitive structure in the relevant markets in the short term.  </w:t>
        <w:br/>
        <w:t xml:space="preserve">45 See decision no. 11-DCC-134, cited above.  </w:t>
        <w:br/>
        <w:t>46 In the 2011 decision, commitments related to the issue of exclusivities enjoyed by GBH were also made. Due to the adoption of the "Lurel Law" of November 20, 2012, these commitments became void and were therefore not renewed.</w:t>
      </w:r>
    </w:p>
    <w:p>
      <w:r>
        <w:rPr>
          <w:b/>
        </w:rPr>
        <w:t>[Pages 22–24]</w:t>
      </w:r>
    </w:p>
    <w:p>
      <w:r>
        <w:t xml:space="preserve">125. In accordance with the commitments made in 2011, these commitments ended in 2017, at the end of the renewal period decided by the Competition Authority in 2014.  </w:t>
        <w:br/>
        <w:t xml:space="preserve">126. To the extent that, during the present investigation, the Competition Authority finds that no notable competitive developments have occurred recently regarding the issue of commercial cooperation budgets and that some respondents to the market test still raise this risk, the competition concerns identified in 2011 cannot be dismissed in the context of the present operation.  </w:t>
        <w:br/>
        <w:t xml:space="preserve">127. In order to eliminate any risk of harm to competition, the notifying party has nevertheless committed to resume the commitments that were already accepted and renewed by the Competition Authority in 2011 and 2014, while easing the control mechanism. These commitments are presented in section IV below.  </w:t>
        <w:br/>
        <w:t xml:space="preserve">IV. The Commitments  </w:t>
        <w:br/>
        <w:t xml:space="preserve">A. THE PROPOSED COMMITMENTS  </w:t>
        <w:br/>
        <w:t xml:space="preserve">1. COMMITMENTS RELATING TO HORIZONTAL EFFECTS  </w:t>
        <w:br/>
        <w:t xml:space="preserve">128. On July 18, 2018, the notifying party presented commitments aimed at remedying the anti-competitive effects of the operation on the downstream markets of retail distribution with a food dominance. These commitments were subject to a market test with competitors. The text of the commitments, attached in the annex, forms an integral part of this decision.  </w:t>
        <w:br/>
        <w:t xml:space="preserve">129. GBH has thus committed to enter into a specific contractual framework with the Carrefour group for the target hypermarket, which includes, on the one hand, a brand licensing agreement and, on the other hand, a service provision agreement.  </w:t>
        <w:br/>
        <w:t xml:space="preserve">130. The main clauses of the brand licensing agreement, concluded for a duration of five years, are as follows:  </w:t>
        <w:br/>
        <w:t xml:space="preserve">− Carrefour will grant GBH, in exchange for a monthly fee, the right to operate the target store under the Euromarché brand.  </w:t>
        <w:br/>
        <w:t xml:space="preserve">− GBH will solely and fully be responsible for the advertising and communication operations related to the target store.  </w:t>
        <w:br/>
        <w:t xml:space="preserve">− Carrefour will benefit from a right of preemption, in the event of the transfer of the business assets, for the entire duration of the brand licensing agreement.  </w:t>
        <w:br/>
        <w:t xml:space="preserve">131. The main clauses of the service provision agreement, concluded for a duration of five years, are as follows:  </w:t>
        <w:br/>
        <w:t xml:space="preserve">− GBH may, against payment of a monthly fee based on [confidential], benefit, on the one hand, from assistance and support in the operation of the target store and, on the other hand, from access to Carrefour's private label products.  </w:t>
        <w:br/>
        <w:t xml:space="preserve">− While remaining free to conduct the commercial program it wishes, GBH may benefit from Carrefour's assistance regarding the appearance and presentation of the target store, as well as in communicating a commercial program and the elements necessary for its implementation.  </w:t>
        <w:br/>
        <w:t xml:space="preserve">− GBH will benefit from all Carrefour private label products for the operation of the target store, while retaining its freedom to assess the contribution of private label products within this operation.  </w:t>
        <w:br/>
        <w:t xml:space="preserve">− GBH will be solely responsible for determining its pricing policy, including that concerning private label products.  </w:t>
        <w:br/>
        <w:t xml:space="preserve">− GBH will retain its freedom to unilaterally determine, on a day-to-day basis, the assortment of the target store.  </w:t>
        <w:br/>
        <w:t xml:space="preserve">132. GBH has committed to implement this commitment from the date of adoption of this decision for a duration of five years.  </w:t>
        <w:br/>
        <w:t xml:space="preserve">2. COMMITMENTS RELATING TO VERTICAL EFFECTS  </w:t>
        <w:br/>
        <w:t xml:space="preserve">133. On July 25, 2018, the notifying party presented additional commitments aimed at preventing any risk of GBH locking competitors out of access to commercial cooperation budgets. The text of the commitments, attached in the annex, forms an integral part of this decision.  </w:t>
        <w:br/>
        <w:t xml:space="preserve">134. GBH has thus committed, on behalf of its wholesale-import subsidiary Sodicar and its other concerned subsidiaries, to allocate the commercial cooperation budgets received from its suppliers between the stores controlled by GBH and competing distributors based on transparent, objective, and verifiable commercial criteria, aimed at avoiding any discrimination in the distribution of these budgets.  </w:t>
        <w:br/>
        <w:t xml:space="preserve">135. GBH has also committed to implement measures to ensure the autonomous operation of Sodicar and the other concerned subsidiaries in relation to the stores controlled by GBH. In particular, GBH has committed that the information collected by Sodicar or by the other concerned subsidiaries regarding the commercial promotions of competing distributors will not be communicated to the entities responsible for commercial promotion in the stores controlled by GBH, particularly regarding the timing of promotions, the products involved, and their scope.  </w:t>
        <w:br/>
        <w:t xml:space="preserve">136. GBH has committed to implement this commitment from the date of adoption of the authorization decision for a duration of five years.  </w:t>
        <w:br/>
        <w:t xml:space="preserve">B. ASSESSMENT OF THE PROPOSED COMMITMENTS  </w:t>
        <w:br/>
        <w:t xml:space="preserve">1. ON THE OBJECTIVE OF THE REMEDIES  </w:t>
        <w:br/>
        <w:t xml:space="preserve">137. The measures intended to remedy the competition harms resulting from the notified operation must comply with the general criteria defined by the decision-making practice of competition authorities and the case law of the Council of State in order to be deemed sufficient to ensure effective competition in the relevant markets, in accordance with the provisions of Article L. 430-7 of the Commercial Code.  </w:t>
        <w:br/>
        <w:t xml:space="preserve">138. As specified in the aforementioned guidelines of the Competition Authority, these measures must be effective in remedying the identified competition harms. To this end, their implementation must not raise any doubts, which implies that they must be drafted in a sufficiently clear and precise manner and that the operational modalities for their realization must be sufficiently detailed. Their implementation must also be swift, as competition is not preserved as long as they are not realized. Furthermore, they must be controllable. Finally, the Competition Authority must ensure that the corrective measures are neutral, in the sense that they must aim to protect competition as such and not specific competitors.  </w:t>
        <w:br/>
        <w:t xml:space="preserve">139. The Competition Authority primarily seeks structural corrective measures, which aim to ensure competitive market structures through divestitures of activities or certain assets, unless behavioral remedies prove equally effective in compensating for the competition harms.  </w:t>
        <w:br/>
        <w:t xml:space="preserve">140. Moreover, the Competition Authority ensures that the remedies are proportionate. Consequently, the adopted measures must effectively remedy the identified competition harms, imposing on the companies a burden that is strictly necessary to maintain or restore sufficient competition.  </w:t>
        <w:br/>
        <w:t xml:space="preserve">2. ON THE ADEQUACY OF THE PROPOSED MEASURES  </w:t>
        <w:br/>
        <w:t xml:space="preserve">a) The commitments relating to horizontal effects  </w:t>
        <w:br/>
        <w:t xml:space="preserve">141. The commitments proposed by GBH consist of entering into a brand licensing agreement and a service provision agreement with Carrefour, the provisions of which offer GBH sufficient commercial autonomy in relation to the Carrefour group for the operation of the target hypermarket.  </w:t>
        <w:br/>
        <w:t xml:space="preserve">142. Indeed, in accordance with the case law of the Council of State and the decision-making practice of the Competition Authority47, the market power of a distribution group must be assessed taking into account both the stores owned and those operated in a network, regardless of their legal status, as long as their commercial policy is not sufficiently autonomous from the head of the network. As indicated in paragraph 62 above, several criteria allow inferring the lack of autonomy of the members of a network.  </w:t>
        <w:br/>
        <w:t xml:space="preserve">143. In this case, the brand licensing agreement and the service provision agreement grant sufficient commercial autonomy to GBH for the operation of the target hypermarket.  </w:t>
        <w:br/>
        <w:t xml:space="preserve">144. Firstly, GBH will operate the target hypermarket under a brand that does not include the Carrefour name: Euromarché. This is a brand that is not present in the area and thus constitutes a new offer for consumers. The disappearance of the Géant Casino brand in the secondary area will be compensated by the arrival of the Euromarché brand. Following the operation, the same number of competing brands will therefore remain in the secondary area.  </w:t>
        <w:br/>
        <w:t xml:space="preserve">145. Secondly, the brand licensing agreement and the service provision agreement guarantee GBH's commercial autonomy in relation to the Carrefour group. Indeed, the clauses of these contracts do not contain any of the main restrictions identified by the decision-making practice of the Competition Authority and the case law of the Council of State recalled in paragraph 62 above. Only the clause relating to the exercise of a right of  </w:t>
        <w:br/>
        <w:t>47 See in particular the decisions of the Competition Authority No. 17-DCC-216 of December 18, 2017, regarding the exclusive control of the assets of the companies Lilnat, Vetura, and Agora Distribution by the company Groupe Philippe Ginestet, No. 14-DCC-71 and No. 10-DCC-01 mentioned above. See also the decision of the Council of State of December 23, 2010, mentioned above.</w:t>
      </w:r>
    </w:p>
    <w:p>
      <w:r>
        <w:rPr>
          <w:b/>
        </w:rPr>
        <w:t>[Pages 25–27]</w:t>
      </w:r>
    </w:p>
    <w:p>
      <w:r>
        <w:t>preemption as well as the five-year duration of the contracts could restrict GBH's commercial autonomy in operating the target hypermarket. However, as the Competition Authority has already noted regarding a Proxi license agreement48, such a provision cannot, in itself, hinder the exercise of real competition by the franchisee/licensee concerning the stores owned by the franchisor or the stores under traditional franchise agreements. Furthermore, the five-year duration is justified in this case, as it concerns a behavioral commitment that must produce its effects over a sufficient period. Moreover, in the event that either of the contracts is terminated before the expiration of their initial five-year duration and the store operates under a Carrefour brand, the Competition Authority would then consider that this could constitute a circumvention of the commitment made, and the notifying company would be exposed to a sanction provided for in Article L. 430-8 of the Commercial Code.</w:t>
      </w:r>
    </w:p>
    <w:p>
      <w:r>
        <w:t>146. Consequently, in the secondary zone, given the commitments made, the operation results in the arrival of a new operator who will be able to compete with the Carrefour brand, present through the SAFO group. From this perspective, GBH replaces HHH in this zone.</w:t>
      </w:r>
    </w:p>
    <w:p>
      <w:r>
        <w:t>147. Thirdly, the commitments are likely to address the risk of unilateral price increases in the secondary zone. Indeed, regarding pricing risks, insofar as GBH will operate the target hypermarket completely autonomously and will be free to determine its pricing policy and its product assortment, it will be able to actively compete with the stores located in the area, including the Carrefour supermarkets operated by the SAFO group. The Competition Authority notes in this regard that the price positioning of the hypermarkets that GBH operates in Martinique is lower than that of the target hypermarket.</w:t>
      </w:r>
    </w:p>
    <w:p>
      <w:r>
        <w:t>148. Fourthly, the commitments are likely to address the risk of reduced choice or quality of services provided by the GSA in the secondary zone. Besides the fact that the existence of assortments, width, and depth of product ranges differs between supermarket and hypermarket formats has already been noted, the Competition Authority points out that the disappearance of Casino private label products in the secondary zone will have only a limited impact on consumer welfare. Before the operation, these products represented only [10-20] % of the total sales of the target hypermarket, and GBH stores achieve [5-10] % of their sales with Carrefour private label products, so they represent only a very limited share of the products sold by the parties' stores. Moreover, the secondary zone is characterized by the presence of two hard discount stores that sell private label products (Ecomax, Leader Price), alongside Carrefour private label products from the supermarkets operated by the SAFO group. Thus, even if GBH distributes Carrefour private label products instead of Casino private label products, this restriction in the choice offered to consumers would be limited, in terms of products and volumes concerned. Furthermore, the Competition Authority had already noted, as early as 2009, the minor role played by private label products in the competitive dynamics of downstream retail markets with a food dominance in the DROM49.</w:t>
      </w:r>
    </w:p>
    <w:p>
      <w:r>
        <w:t>149. Consequently, the Competition Authority considers that the commitments proposed by the notifying party are sufficient to eliminate the risks of harm to competition resulting from the horizontal effects of the operation.</w:t>
      </w:r>
    </w:p>
    <w:p>
      <w:r>
        <w:t xml:space="preserve">48 See decision n° 14-DCC-173, cited above.  </w:t>
        <w:br/>
        <w:t>49 See opinion n° 09-A-45, cited above.</w:t>
      </w:r>
    </w:p>
    <w:p>
      <w:r>
        <w:t>b) Commitments related to vertical effects</w:t>
      </w:r>
    </w:p>
    <w:p>
      <w:r>
        <w:t>150. The commitments made by GBH consist of taking on commitments that have addressed competition harm risks identified by the Competition Authority and that the operation could potentially reproduce.</w:t>
      </w:r>
    </w:p>
    <w:p>
      <w:r>
        <w:t>151. Given that the issue of fair distribution of commercial cooperation budgets has not evolved since the review of the commitments made in 2011 (which ended in 2017), the Competition Authority considers that similar commitments can address the risk of locking competitors of GBH out of access to commercial cooperation budgets.</w:t>
      </w:r>
    </w:p>
    <w:p>
      <w:r>
        <w:t>152. The Competition Authority notes in this regard that, given the limited weight of the target hypermarket in the downstream retail market with a food dominance in Martinique, the vertical effects identified in 2011 will not be significantly reinforced by the present operation. It considers that the commitment mechanism fully addresses the risk of locking access to commercial cooperation budgets.</w:t>
      </w:r>
    </w:p>
    <w:p>
      <w:r>
        <w:t>153. The commitment presented is, however, lighter than the commitment made in 2011.</w:t>
      </w:r>
    </w:p>
    <w:p>
      <w:r>
        <w:t>154. On the one hand, it does not include clauses related to the exclusivities that GBH enjoyed and that could have enabled it to favor its own stores to the detriment of its competitors. Indeed, these clauses have become obsolete following the adoption of law n° 2012-1270 of November 21, 2012, relating to economic regulation in the overseas territories, known as the "Lurel Law." This law mandates the elimination in the overseas departments of exclusive import rights contained in contracts concluded between domestic distributors/importers and their suppliers from the mainland or abroad. More specifically, Article 5 of the "Lurel Law," which came into force on March 20, 2012, states: "Agreements or concerted practices aimed at granting exclusive import rights to a company or a group of companies are prohibited." Thus, given the entry into force of the "Lurel Law," commitments concerning exclusivity issues are no longer justified.</w:t>
      </w:r>
    </w:p>
    <w:p>
      <w:r>
        <w:t>155. On the other hand, the control modalities have been relaxed by not providing for the appointment of a representative. According to point 577 of the aforementioned guidelines, "Regardless of the type of corrective measure chosen, and except in cases of exceptional circumstances, commitments must provide for the appointment of an independent representative responsible for monitoring their implementation."</w:t>
      </w:r>
    </w:p>
    <w:p>
      <w:r>
        <w:t>156. The Competition Authority recalls that the appointment of a representative is neither a legal nor regulatory obligation. It believes that in this case, the appointment of a representative responsible for monitoring this behavioral commitment is not justified given the following exceptional circumstances.</w:t>
      </w:r>
    </w:p>
    <w:p>
      <w:r>
        <w:t>157. On the one hand, the commitment made is identical to a commitment taken in 2011, with a duration of six years. On the other hand, it can be monitored through a simple communication of documents, including on-site, and the possibility for any concerned third party to inform the Competition Authority of any difficulties related to the execution of the commitment.</w:t>
      </w:r>
    </w:p>
    <w:p>
      <w:r>
        <w:t>158. Consequently, the Competition Authority considers that the commitments proposed by the notifying party are sufficient to eliminate the harms to competition resulting from the vertical effects of the operation.</w:t>
      </w:r>
    </w:p>
    <w:p>
      <w:r>
        <w:t xml:space="preserve">DECIDES  </w:t>
        <w:br/>
        <w:t xml:space="preserve">Article unique: The operation notified under number 17-265 is authorized subject to the commitments described in paragraphs 128 to 136 above and annexed to this decision.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