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https://www.autoritedelaconcurrence.fr/fr/decision-de-controle-des-concentrations/relative-la-prise-de-controle-exclusif-des-societes-short</w:t>
      </w:r>
    </w:p>
    <w:p>
      <w:r>
        <w:t>Pages translated : 21</w:t>
      </w:r>
    </w:p>
    <w:p/>
    <w:p>
      <w:r>
        <w:rPr>
          <w:b/>
        </w:rPr>
        <w:t>[Pages 1–3]</w:t>
      </w:r>
    </w:p>
    <w:p>
      <w:r>
        <w:t xml:space="preserve">FRENCH REPUBLIC  </w:t>
        <w:br/>
        <w:t xml:space="preserve">Decision No. 20-DCC-62 of May 13, 2020  </w:t>
        <w:br/>
        <w:t xml:space="preserve">regarding the exclusive control of Short Brothers plc and Bombardier Aerospace North Africa SAS as well as certain assets of Bombardier by Spirit Aerosystems Inc.  </w:t>
        <w:br/>
        <w:t xml:space="preserve">The Competition Authority,  </w:t>
        <w:br/>
        <w:t xml:space="preserve">Having regard to the notification file submitted in full to the merger service on March 27, 2020, regarding the exclusive control of Short Brothers plc and Bombardier Aerospace North Africa SAS as well as certain assets of Bombardier by Spirit Aerosystems Inc., formalized by a transfer agreement dated October 31, 2019;  </w:t>
        <w:br/>
        <w:t xml:space="preserve">Having regard to Book IV of the Commercial Code relating to price freedom and competition, and in particular Articles L. 430-1 to L. 430-7;  </w:t>
        <w:br/>
        <w:t xml:space="preserve">Having regard to the elements transmitted during the investigation by the notifying party;  </w:t>
        <w:br/>
        <w:t>Adopts the following decision:</w:t>
      </w:r>
    </w:p>
    <w:p>
      <w:r>
        <w:t xml:space="preserve">Summary1  </w:t>
        <w:br/>
        <w:t xml:space="preserve">By means of the decision below, the Authority examined the exclusive control of Short Brothers plc and Bombardier Aerospace North Africa SAS as well as certain assets of Bombardier (hereinafter, "the target Bombardier assets") by the Spirit group.  </w:t>
        <w:br/>
        <w:t xml:space="preserve">The Spirit group and the target Bombardier assets both produce parts for aircraft, primarily wing, fuselage, and nacelle components for airplanes. The customers of the parties are aircraft manufacturers such as Boeing, Airbus, Bombardier, or Gulfstream.  </w:t>
        <w:br/>
        <w:t xml:space="preserve">In the context of this decision, the Authority relied on previous decision-making practices2 and analyzed the various markets for the supply of components for commercial aircraft as well as the markets for spare parts and maintenance services.  </w:t>
        <w:br/>
        <w:t xml:space="preserve">While the operation involves numerous horizontal overlaps, the market shares of the new entity exceed 25%, with an addition of market share of more than two points in a limited number of markets3. In these markets, the Authority noted the presence of numerous competitors. It also considered that the parties were not the closest competitors, as the target Bombardier assets have a production of components heavily oriented towards business jets (notably those produced by the seller, the Bombardier group), while the Spirit group primarily produces components intended for large capacity aircraft, particularly Boeing aircraft. Finally, the Authority noted the strong countervailing power of aircraft manufacturers in these markets, due in part to their limited number (oligopsony) and their internal production capabilities.  </w:t>
        <w:br/>
        <w:t xml:space="preserve">In the context of the analysis of non-horizontal effects, the Authority considered that the new entity would neither have the capacity nor the incentives to implement input or customer lock-in mechanisms, notably due to the existence of competitive alternatives, the tendering of contracts, the duration of contracts, and the countervailing power of aircraft manufacturers.  </w:t>
        <w:br/>
        <w:t xml:space="preserve">At the end of its competitive analysis, the Authority authorized the operation without conditions.  </w:t>
        <w:br/>
        <w:t xml:space="preserve">1 This summary is strictly informative. Only the reasons for the decision numbered below are authoritative.  </w:t>
        <w:br/>
        <w:t xml:space="preserve">2 Previous decision-making practices segmented the markets between helicopter components, components for commercial aircraft (used by airlines), military aircraft, and so-called general aviation aircraft (leisure aircraft). It also considered segmenting the markets by type of commercial aircraft (large capacity airliners, regional aircraft, and business jets) and by component.  </w:t>
        <w:br/>
        <w:t>3 These include the markets for the supply of forward fuselage (all commercial aircraft), central fuselage (all commercial aircraft), thrust reverser (all commercial aircraft, large capacity commercial aircraft, and business jets), air intake cowl (business jets), fan cowl (business jets), and reaction attachments (business jets).</w:t>
      </w:r>
    </w:p>
    <w:p>
      <w:r>
        <w:t xml:space="preserve">I. The companies concerned and the operation  </w:t>
        <w:br/>
        <w:t xml:space="preserve">1. Spirit Aerosystems Inc. is a company under U.S. law, wholly owned by Spirit Aerosystems Holdings Inc., the parent company of the Spirit group and listed on the New York Stock Exchange4. The Spirit group is active in the supply of parts for civil and military aircraft. It has several manufacturing sites located in the United States (Wichita, Biddeford, Kinston, Tulsa, McAlester, and San Antonio), in the United Kingdom (Prestwick), in France (Saint-Nazaire), and in Malaysia (Subang).  </w:t>
        <w:br/>
        <w:t xml:space="preserve">2. The companies Short Brothers plc (a company located in the United Kingdom) and Bombardier Aerospace North Africa SAS (a company located in Morocco) as well as the assets comprising the "Aerostructures and Engineering Services" division (located in the United States) are ultimately owned by Bombardier Inc., the parent company of the Bombardier group. These sold companies and assets produce components and parts for aircraft.  </w:t>
        <w:br/>
        <w:t xml:space="preserve">3. The notified operation, formalized by a transfer agreement concluded on October 31, 2019, consists of the acquisition by Spirit Aerosystems Inc. of the entire capital of Short Brothers plc and Bombardier Aerospace North Africa SAS and the assets of the "Aerostructures and Engineering Services" division of the Bombardier group (hereinafter collectively referred to as "target Bombardier assets" or "target assets").  </w:t>
        <w:br/>
        <w:t xml:space="preserve">4. As it results in the exclusive control of the target Bombardier assets by the Spirit group, the notified operation constitutes a concentration operation within the meaning of Article L. 430-1 of the Commercial Code.  </w:t>
        <w:br/>
        <w:t>5. The companies concerned together achieve a total worldwide turnover of more than 150 million euros (Spirit group: [≥ 150 million] euros for the fiscal year ending December 31, 2019; target Bombardier assets: [≥ 150 million] euros for the fiscal year ending December 31, 2018). Each of these companies achieves, in France, a turnover exceeding 50 million euros (Spirit group: [≥ 50 million] euros for the fiscal year ending December 31, 2019; target Bombardier assets: [≥ 50 million] euros for the fiscal year ending December 31, 2018). Given these turnover figures, the operation does not have a European dimension5.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6. The parties are simultaneously present in the markets for the design, manufacture, and marketing of parts for aircraft, particularly aerostructure components. Aerostructures are the structural components of an aircraft and include, in particular, wings,  </w:t>
        <w:br/>
        <w:t xml:space="preserve">4 The main shareholders are Vanguard Group, Inc (11.74%), Barrow Hanley, Mewhinney &amp; Strauss LLC (5.35%), and BlackRock, Inc (7.1%).  </w:t>
        <w:br/>
        <w:t>5 The target assets achieved a turnover of less than 250 million euros in 2018 in the European Union. Furthermore, the parties to the operation did not achieve a combined turnover of 100 million euros or more in three Member States of the European Union. This conclusion would not be altered by the inclusion of the turnover achieved by Asco, whose acquisition by the Spirit group was authorized by the European Commission on March 20, 2019.</w:t>
      </w:r>
    </w:p>
    <w:p>
      <w:r>
        <w:rPr>
          <w:b/>
        </w:rPr>
        <w:t>[Pages 4–6]</w:t>
      </w:r>
    </w:p>
    <w:p>
      <w:r>
        <w:t>the fuselage, the empennage, and the nacelles. The producers of these components can be the aircraft manufacturers themselves such as Boeing, Airbus, Gulfstream, and Dassault, or independent producers who then act as subcontractors for the aircraft manufacturers. The latter are divided into so-called first-tier producers (or "tier 1" according to English terminology) and second-tier producers (or "tier 2"). First-tier producers generally have assembly capabilities and can supply assembled aerostructures (wing, nacelle, etc.), while second-tier producers are limited to the production of components or sub-components, which they then supply either to first-tier suppliers or directly to the aircraft manufacturers. Indeed, the aircraft manufacturers can purchase parts directly from producers and choose to assemble the aerostructures themselves. Both parties are first-tier producers.</w:t>
      </w:r>
    </w:p>
    <w:p>
      <w:r>
        <w:t>7. The parties are also active in the markets for the provision of after-sales maintenance, repair, and overhaul services (abbreviated as MRO in English for "maintenance, repair and overhaul") and spare parts.</w:t>
      </w:r>
    </w:p>
    <w:p>
      <w:r>
        <w:t>A. MARKETS FOR THE SUPPLY OF AIRCRAFT PARTS</w:t>
      </w:r>
    </w:p>
    <w:p>
      <w:r>
        <w:t>1. MARKET FOR PRODUCTS</w:t>
      </w:r>
    </w:p>
    <w:p>
      <w:r>
        <w:t>8. The decision-making practice has distinguished within the aircraft market several segments: helicopters, commercial aircraft, so-called "general aviation" aircraft, and military aircraft.</w:t>
      </w:r>
    </w:p>
    <w:p>
      <w:r>
        <w:t>9. Within commercial aircraft, it has considered a segmentation between large capacity commercial aircraft (over 100 passengers), regional aircraft (between 30 and 100 passengers), and business aircraft.</w:t>
      </w:r>
    </w:p>
    <w:p>
      <w:r>
        <w:t>10. The decision-making practice of the European Commission has alternatively considered, depending on the case at hand, (i) a global approach, defining a market for the supply of all parts involved in the manufacture of an aircraft, such as wings, fuselage, pylons, or nacelles, or (ii) a component-based approach, whereby each of these parts falls within a specific market.</w:t>
      </w:r>
    </w:p>
    <w:p>
      <w:r>
        <w:t>11. The decision-making practice has thus identified or considered different markets for each component or sub-component of aerostructures. Thus, it has notably analyzed the markets for the supply of the components or sub-components listed below:</w:t>
        <w:br/>
        <w:t>- for wings: fixed leading edge mobile devices (their sub-components, leading edge slats and tracks), trailing edge mobile devices (and their sub-components, trailing edge tracks), leading edges, trailing edges, secondary wing structures, and various structural components of the wing;</w:t>
        <w:br/>
        <w:t>- for nacelles: thrust reversers (and their sub-components: thrust reverser grids, thrust reverser deflectors, flexible metal pipes, and high-temperature duct assemblies), air intake cowls, cones or exhaust nozzles, fan cowls, and engine mounts;</w:t>
        <w:br/>
        <w:t>- for the fuselage: cockpit fuselages, forward fuselages, central fuselages, rear fuselages, and tail fuselages as well as structural components of fuselage parts.</w:t>
      </w:r>
    </w:p>
    <w:p>
      <w:r>
        <w:t>12. The question of market delineation may be left open, with the conclusions of the competitive analysis remaining unchanged. In this case, the analysis was conducted both on the global market as well as on each component market.</w:t>
      </w:r>
    </w:p>
    <w:p>
      <w:r>
        <w:t>2. GEOGRAPHICAL MARKETS</w:t>
      </w:r>
    </w:p>
    <w:p>
      <w:r>
        <w:t>13. The European Commission consistently considers that the geographical dimension of the aircraft parts markets is global.</w:t>
      </w:r>
    </w:p>
    <w:p>
      <w:r>
        <w:t>14. There is no reason, in this case, to challenge the geographical delineation of the markets.</w:t>
      </w:r>
    </w:p>
    <w:p>
      <w:r>
        <w:t>B. MARKETS FOR SPARE PARTS AND MAINTENANCE SERVICES ("MRO")</w:t>
      </w:r>
    </w:p>
    <w:p>
      <w:r>
        <w:t>1. MARKETS FOR PRODUCTS AND SERVICES</w:t>
      </w:r>
    </w:p>
    <w:p>
      <w:r>
        <w:t>15. The decision-making practice has considered a segmentation between the market for the supply of spare parts used in maintenance operations and the market for the supply of maintenance services.</w:t>
      </w:r>
    </w:p>
    <w:p>
      <w:r>
        <w:t>16. Within maintenance services, the European Commission has distinguished:</w:t>
        <w:br/>
        <w:t>- "line" maintenance services, which aim to ensure that the aircraft is fit to fly, and take place at an airport located on the aircraft's route. In the context of line maintenance, the aircraft is not removed from service. The decision-making practice has considered a segmentation of these mandatory maintenance services between (i) so-called "A-checks" which occur every 800 flight hours and require 200 to 300 man-hours of work and (ii) "B-checks" which occur every four to six months and generally last three days;</w:t>
        <w:br/>
        <w:t>- "heavy" maintenance services, which involve removing the aircraft from service and conducting a detailed inspection of the entire aircraft. Similarly to line maintenance services, the decision-making practice of the European Commission has considered a segmentation between (i) heavy maintenance operations known as "C-checks" which occur at a specified interval (set by the manufacturer in months or flight hours) and (ii) heavy maintenance operations known as "D-checks" which involve disassembling the aircraft, overhauling, and inspecting all components;</w:t>
        <w:br/>
        <w:t>- engine maintenance services, possibly segmented by engine type;</w:t>
        <w:br/>
        <w:t>- component maintenance, which essentially consists of replacing components whose failure has been detected (by the aircraft's systems or during heavy or line maintenance operations). Component maintenance also involves periodic overhauls of certain safety-related components.</w:t>
      </w:r>
    </w:p>
    <w:p>
      <w:r>
        <w:t>17. The decision-making practice has considered that an additional distinction based on the type of aircraft is relevant (large capacity commercial aircraft, business aircraft, and military aircraft). It has also been able to retain a segmentation based on the platform, that is to say, the aircraft model (for example, Boeing 737 or Airbus A340).</w:t>
      </w:r>
    </w:p>
    <w:p>
      <w:r>
        <w:t>18. The question of market delineation may be left open, with the conclusions of the competitive analysis remaining unchanged.</w:t>
      </w:r>
    </w:p>
    <w:p>
      <w:r>
        <w:t>2. GEOGRAPHICAL MARKETS</w:t>
      </w:r>
    </w:p>
    <w:p>
      <w:r>
        <w:t>19. The decision-making practice considers that the markets for spare parts are at least of European dimension.</w:t>
      </w:r>
    </w:p>
    <w:p>
      <w:r>
        <w:t>20. For maintenance service markets, it has considered:</w:t>
        <w:br/>
        <w:t>- a global dimension for the markets for component maintenance;</w:t>
        <w:br/>
        <w:t>- at least a European dimension for the heavy maintenance market ("C-Check" and "D-Check") and engine maintenance;</w:t>
        <w:br/>
        <w:t>- a local dimension (or at least infra-European) for the line maintenance market ("A-Check" and "B-Check"), insofar as the latter takes place on the route of the concerned aircraft.</w:t>
      </w:r>
    </w:p>
    <w:p>
      <w:r>
        <w:t>21. There is no reason, in this case, to challenge the geographical delineation of the markets.</w:t>
      </w:r>
    </w:p>
    <w:p>
      <w:r>
        <w:rPr>
          <w:b/>
        </w:rPr>
        <w:t>[Pages 7–9]</w:t>
      </w:r>
    </w:p>
    <w:p>
      <w:r>
        <w:t xml:space="preserve">III. Competitive Analysis  </w:t>
        <w:br/>
        <w:t xml:space="preserve">A. ANALYSIS OF HORIZONTAL EFFECTS  </w:t>
        <w:br/>
        <w:t xml:space="preserve">1. MARKETS FOR THE SUPPLY OF PARTS FOR COMMERCIAL AIRCRAFT  </w:t>
        <w:br/>
        <w:t xml:space="preserve">22. The activities of the parties overlap in the markets for the supply of parts for wings, the fuselage, and nacelles for commercial aircraft.  </w:t>
        <w:br/>
        <w:t xml:space="preserve">23. It should be noted that the target assets are currently owned by the aircraft manufacturer Bombardier, and [confidential] of the production of the target assets is intended for Bombardier aircraft. For the Bombardier group, the operation leads to a de facto outsourcing of the production of certain aerostructure components used in the manufacture of Bombardier aircraft to the Spirit group.  </w:t>
        <w:br/>
        <w:t xml:space="preserve">a) Market shares of the new entity and its competitors  </w:t>
        <w:br/>
        <w:t xml:space="preserve">Global Market  </w:t>
        <w:br/>
        <w:t xml:space="preserve">24. The new entity will have a market share of less than [10-20]% in the global market for the supply of aerostructure parts for commercial aircraft, with an addition of market share of [0-5] points.  </w:t>
        <w:br/>
        <w:t xml:space="preserve">25. In this market, it will face competition from Collins Aerospace ([5-10]%), Mitsubishi Heavy Industries (hereinafter "MHI", [0-5]%), Safran ([0-5]%*), Korea Aerospace Industries (hereinafter "KAI", [0-5]%), Alenia ([0-5]%), Sonaca Group (including LMI, [0-5]%), Kawasaki Heavy Industries (hereinafter "KHI", [0-5]%), Magellan ([0-5]%) and GKN ([0-5]%), as well as competition from aircraft manufacturers producing for their own needs as well as for those of their competitors, Airbus ([20-30]%) and Boeing ([10-20]%)22.  </w:t>
        <w:br/>
        <w:t xml:space="preserve">Wings  </w:t>
        <w:br/>
        <w:t xml:space="preserve">26. The market shares of the new entity in the markets for the supply of wings and wing components, where the parties are simultaneously present, are detailed in the table below23.  </w:t>
        <w:br/>
        <w:t xml:space="preserve">22 For example, Stelia and Premium Aerotec are subsidiaries of Airbus, which produce components for their parent companies but also for external customers. It should also be noted that the target assets previously held by Bombardier produce components for Airbus, Gulfstream, De Havilland, and Irkut.  </w:t>
        <w:br/>
        <w:t xml:space="preserve">23 Only the markets where the parties are simultaneously present are detailed in the table below.  </w:t>
        <w:br/>
        <w:t xml:space="preserve">* Correction of material error.  </w:t>
        <w:br/>
        <w:t>7</w:t>
      </w:r>
    </w:p>
    <w:p>
      <w:r>
        <w:t xml:space="preserve">Market  </w:t>
        <w:br/>
        <w:t xml:space="preserve">New Assets  </w:t>
        <w:br/>
        <w:t xml:space="preserve">Spirit  </w:t>
        <w:br/>
        <w:t xml:space="preserve">target entity  </w:t>
        <w:br/>
        <w:t xml:space="preserve">Type of parts Type of aircraft  </w:t>
        <w:br/>
        <w:t xml:space="preserve">All commercial aircraft [10-20]%* [0-5]%* [10-20]%  </w:t>
        <w:br/>
        <w:t xml:space="preserve">Wings (global) Large capacity [10-20]% [0-5]% [10-20]%  </w:t>
        <w:br/>
        <w:t xml:space="preserve">Regional [0-5]% [0-5]% [0-5]%  </w:t>
        <w:br/>
        <w:t xml:space="preserve">Fixed leading edges All commercial aircraft [60-70]% [0-5]% [60-70]%  </w:t>
        <w:br/>
        <w:t xml:space="preserve">Mobile devices of  </w:t>
        <w:br/>
        <w:t xml:space="preserve">All commercial aircraft [20-30]% [0-5]% [20-30]%  </w:t>
        <w:br/>
        <w:t xml:space="preserve">trailing edge  </w:t>
        <w:br/>
        <w:t xml:space="preserve">Secondary wing  </w:t>
        <w:br/>
        <w:t xml:space="preserve">All commercial aircraft [30-40]% [0-5]% [30-40]%  </w:t>
        <w:br/>
        <w:t xml:space="preserve">structures  </w:t>
        <w:br/>
        <w:t xml:space="preserve">Mobile devices of  </w:t>
        <w:br/>
        <w:t xml:space="preserve">All commercial aircraft [40-50]%* [0-5]% [40-50]%  </w:t>
        <w:br/>
        <w:t xml:space="preserve">leading edge  </w:t>
        <w:br/>
        <w:t xml:space="preserve">27. The market shares of the new entity are below 25% in the global market for the supply of wing components regardless of segmentation as well as in the market for the supply of mobile trailing edge devices (all commercial aircraft).  </w:t>
        <w:br/>
        <w:t xml:space="preserve">28. The addition of market share resulting from the operation is less than [0-5] points in the markets for the supply (all commercial aircraft) of fixed leading edges, mobile leading edge devices, and secondary wing structures. The position of the target assets is limited in these markets as they only produce wing components for, on the one hand, [confidential].  </w:t>
        <w:br/>
        <w:t xml:space="preserve">29. Furthermore, in these various markets, the new entity will face competition from numerous first-tier suppliers such as MHI (market share in the global wing market: [5-10]%), Sonaca Group (including LMI, [5-10]%), Magellan ([0-5%]*), KAI ([0-5]%), GKN ([0-5]%), Triumph ([0-5]%), and KHI ([0-5]%) and from aircraft manufacturers, Boeing ([20-30]%)24 and Airbus ([20-30]%)25.  </w:t>
        <w:br/>
        <w:t xml:space="preserve">Fuselage  </w:t>
        <w:br/>
        <w:t xml:space="preserve">30. The market shares of the new entity in the markets for the supply of fuselage and fuselage components where the parties are simultaneously present are detailed in the table below26.  </w:t>
        <w:br/>
        <w:t xml:space="preserve">24 Boeing's market share includes that of Boeing Australia, which the Counterpoint report submitted by the notifying party describes as a major exporter of components for Boeing, Airbus, Lockheed Martin, Bombardier, and other aircraft manufacturers.  </w:t>
        <w:br/>
        <w:t xml:space="preserve">25 Airbus's market share systematically includes those of its subsidiaries Stelia and Premium Aerotec, which are active as first-tier suppliers.  </w:t>
        <w:br/>
        <w:t xml:space="preserve">26 Only the markets where the parties are simultaneously present are detailed in the table below. Thus, the activities of the parties overlap in the market for forward fuselages for all commercial aircraft combined. However, Spirit produces forward fuselages for commercial aircraft while the target assets produce forward fuselages for regional and business aircraft. Consequently, the operation does not give rise to horizontal effects in the markets for the supply of forward fuselages segmented by type of aircraft.  </w:t>
        <w:br/>
        <w:t xml:space="preserve">* Correction of material error.  </w:t>
        <w:br/>
        <w:t>8</w:t>
      </w:r>
    </w:p>
    <w:p>
      <w:r>
        <w:t xml:space="preserve">New Assets  </w:t>
        <w:br/>
        <w:t xml:space="preserve">Market Spirit  </w:t>
        <w:br/>
        <w:t xml:space="preserve">target entity  </w:t>
        <w:br/>
        <w:t xml:space="preserve">Types of parts Type of aircraft  </w:t>
        <w:br/>
        <w:t xml:space="preserve">All commercial aircraft [20-30]% [0-5]% [20-30]%  </w:t>
        <w:br/>
        <w:t xml:space="preserve">Fuselages (global) Large capacity [20-30]% [0-5]% [20-30]%  </w:t>
        <w:br/>
        <w:t xml:space="preserve">Business [0-5]% [5-10]% [5-10]%  </w:t>
        <w:br/>
        <w:t xml:space="preserve">Assembled fuselage All commercial aircraft [20-30]% [0-5]% [20-30]%  </w:t>
        <w:br/>
        <w:t xml:space="preserve">Cockpit fuselage All commercial aircraft [30-40]% [0-5]% [30-40]%  </w:t>
        <w:br/>
        <w:t xml:space="preserve">Forward fuselage All commercial aircraft [30-40]% [0-5]% [30-40]%  </w:t>
        <w:br/>
        <w:t xml:space="preserve">All commercial aircraft [30-40]% [0-5]% [30-40]%  </w:t>
        <w:br/>
        <w:t xml:space="preserve">Central fuselage  </w:t>
        <w:br/>
        <w:t xml:space="preserve">Large capacity [30-40]% [0-5]% [30-40]%  </w:t>
        <w:br/>
        <w:t xml:space="preserve">Aft fuselage All commercial aircraft [20-30]% [0-5]% [20-30]%  </w:t>
        <w:br/>
        <w:t xml:space="preserve">Tail fuselage All commercial aircraft [20-30]% [0-5]% [20-30]%  </w:t>
        <w:br/>
        <w:t xml:space="preserve">31. The market shares of the new entity are below 25% in:  </w:t>
        <w:br/>
        <w:t xml:space="preserve">- the markets for the supply of assembled fuselage, aft fuselage, and tail fuselage for all commercial aircraft;  </w:t>
        <w:br/>
        <w:t xml:space="preserve">- the market for the supply of fuselage (global market) for business aircraft.  </w:t>
        <w:br/>
        <w:t xml:space="preserve">32. The addition of market share related to the operation is less than [0-5] points in:  </w:t>
        <w:br/>
        <w:t xml:space="preserve">- the markets for the supply of fuselage (global market) and cockpit fuselage for commercial aircraft;  </w:t>
        <w:br/>
        <w:t xml:space="preserve">- the markets for the supply of fuselage (global market) and central fuselage for large capacity aircraft.  </w:t>
        <w:br/>
        <w:t xml:space="preserve">33. In the market for forward fuselages (all commercial aircraft), the new entity will have a market share of [30-40]%, with a limited addition of market share ([0-5] points). It will compete with Airbus ([30-40]%), KHI ([10-20]%), Alenia ([5-10]%), Boeing ([0-5]%), and AVIC ([0-5]%).  </w:t>
        <w:br/>
        <w:t xml:space="preserve">34. In the market for central fuselages (all types of commercial aircraft), the new entity will have a market share of [30-40]%, with a limited addition of market share ([0-5] points). It will compete with Airbus ([20-30]%)27, Alenia ([10-20]%), MHI ([5-10]%), Boeing ([0-5]%), and AVIC ([0-5]%).  </w:t>
        <w:br/>
        <w:t xml:space="preserve">27 The notifying party indicates that Premium Aerotec has a market share of [20-30]% in this market.  </w:t>
        <w:br/>
        <w:t>9</w:t>
      </w:r>
    </w:p>
    <w:p>
      <w:r>
        <w:rPr>
          <w:b/>
        </w:rPr>
        <w:t>[Pages 10–12]</w:t>
      </w:r>
    </w:p>
    <w:p>
      <w:r>
        <w:t xml:space="preserve">Nacelles  </w:t>
        <w:br/>
        <w:t xml:space="preserve">35. The market shares of the new entity in the markets for the supply of nacelles and nacelle components where the parties are simultaneously present are detailed in the table below.  </w:t>
        <w:br/>
        <w:t xml:space="preserve">Market  </w:t>
        <w:br/>
        <w:t xml:space="preserve">New  </w:t>
        <w:br/>
        <w:t xml:space="preserve">Spirit Target Assets  </w:t>
        <w:br/>
        <w:t xml:space="preserve">Types of  </w:t>
        <w:br/>
        <w:t xml:space="preserve">entity  </w:t>
        <w:br/>
        <w:t xml:space="preserve">Type of aircraft  </w:t>
        <w:br/>
        <w:t xml:space="preserve">parts  </w:t>
        <w:br/>
        <w:t xml:space="preserve">[10-20]- [20-30]-[20-  </w:t>
        <w:br/>
        <w:t xml:space="preserve">All commercial aircraft [0-5]%  </w:t>
        <w:br/>
        <w:t xml:space="preserve">Nacelles [10-20]%* [30]%  </w:t>
        <w:br/>
        <w:t xml:space="preserve">(global market) [10-20]- [30-40]-[30-  </w:t>
        <w:br/>
        <w:t xml:space="preserve">Business [10-20]%  </w:t>
        <w:br/>
        <w:t xml:space="preserve">[20-30]%* [40]%  </w:t>
        <w:br/>
        <w:t xml:space="preserve">Nacelles All commercial aircraft [0-5]% [0-5]% [0-5]%  </w:t>
        <w:br/>
        <w:t xml:space="preserve">assembled  </w:t>
        <w:br/>
        <w:t xml:space="preserve">Business [10-20]% [0-5]% [20-30]%  </w:t>
        <w:br/>
        <w:t xml:space="preserve">[30-40]- [30-40]-[40-  </w:t>
        <w:br/>
        <w:t xml:space="preserve">All commercial aircraft [0-5]-[10-20]%**  </w:t>
        <w:br/>
        <w:t xml:space="preserve">[30-40]%* [50]%  </w:t>
        <w:br/>
        <w:t xml:space="preserve">Thrust reversers [30-40]-[40-  </w:t>
        <w:br/>
        <w:t xml:space="preserve">Large capacity [30-40]% [0-5]-[10-20]%**  </w:t>
        <w:br/>
        <w:t xml:space="preserve">50]%  </w:t>
        <w:br/>
        <w:t xml:space="preserve">[10-20]- [20-30]-[20-  </w:t>
        <w:br/>
        <w:t xml:space="preserve">Business [0-5]%  </w:t>
        <w:br/>
        <w:t xml:space="preserve">[20-30]%* [30]%  </w:t>
        <w:br/>
        <w:t xml:space="preserve">Central All commercial aircraft [0-5]% [0-5]% [0-5]%  </w:t>
        <w:br/>
        <w:t xml:space="preserve">cowls  </w:t>
        <w:br/>
        <w:t xml:space="preserve">Large capacity [0-5]% [0-5]% [0-5]%  </w:t>
        <w:br/>
        <w:t xml:space="preserve">[5-10]- [10-20]-[10-  </w:t>
        <w:br/>
        <w:t xml:space="preserve">All commercial aircraft [5-10]-[10-20]%*  </w:t>
        <w:br/>
        <w:t xml:space="preserve">[5-10]%*** [20]%  </w:t>
        <w:br/>
        <w:t xml:space="preserve">Air intake [5-10]- [10-20]-[10-  </w:t>
        <w:br/>
        <w:t xml:space="preserve">Large capacity [5-10]%  </w:t>
        <w:br/>
        <w:t xml:space="preserve">[5-10]%*** [20]%  </w:t>
        <w:br/>
        <w:t xml:space="preserve">[10-20]- [40-50]-[40-  </w:t>
        <w:br/>
        <w:t xml:space="preserve">Business [20-30]%  </w:t>
        <w:br/>
        <w:t xml:space="preserve">[20-30]%* [50]%  </w:t>
        <w:br/>
        <w:t xml:space="preserve">All commercial aircraft [5-10]-[5-10]%* [0-5]-[0-5]%*** [5-10]-[10-20]%  </w:t>
        <w:br/>
        <w:t xml:space="preserve">Fan cowl  </w:t>
        <w:br/>
        <w:t xml:space="preserve">Large capacity [5-10]% [0-5]-[0-5]%*** [5-10]-[5-10]%  </w:t>
        <w:br/>
        <w:t xml:space="preserve">[10-20]- [40-50]-[40-  </w:t>
        <w:br/>
        <w:t xml:space="preserve">Business [20-30]%  </w:t>
        <w:br/>
        <w:t xml:space="preserve">[20-30]%* [50]%  </w:t>
        <w:br/>
        <w:t xml:space="preserve">All commercial aircraft [0-5]-[0-5]%* [0-5]% [5-10]-[5-10]%  </w:t>
        <w:br/>
        <w:t xml:space="preserve">Engine mounts Business [10-20]- [20-30]% [40-50]-[40-  </w:t>
        <w:br/>
        <w:t xml:space="preserve">[20-30]%* [50]%  </w:t>
        <w:br/>
        <w:t xml:space="preserve">* The notifying party indicates that [confidential].  </w:t>
        <w:br/>
        <w:t>28 Only the markets where the parties are simultaneously present are detailed in the table below.</w:t>
      </w:r>
    </w:p>
    <w:p>
      <w:r>
        <w:t xml:space="preserve">** The notifying party indicates that [confidential].  </w:t>
        <w:br/>
        <w:t xml:space="preserve">*** The notifying party indicates that [confidential].  </w:t>
        <w:br/>
        <w:t xml:space="preserve">36. The market shares of the new entity are below 25%:  </w:t>
        <w:br/>
        <w:t xml:space="preserve">- in the markets for the supply of assembled nacelles and central cowls regardless of segmentation;  </w:t>
        <w:br/>
        <w:t xml:space="preserve">- in the markets for the supply of nacelles (global market), fan cowls, and air intake cowls for all segmentations except for that relating to business aircraft;  </w:t>
        <w:br/>
        <w:t xml:space="preserve">- in the market for the supply of engine mounts for all commercial aircraft.  </w:t>
        <w:br/>
        <w:t xml:space="preserve">37. In the market for thrust reversers for all commercial aircraft, the new entity will have a market share of [30-40] % following the operation, with an addition of market share of less than [0-5] points. By incorporating the contracts recently won by the parties, this market share could reach [40-50] %, with an addition of market share of [10-20] points. Similarly, for the specific segment of large capacity commercial aircraft, the market share of the new entity stands at [30-40] % with a marginal addition of market share, but it will reach, following the award of the contract for the supply of thrust reversers on A320neo platforms, [40-50] % with an addition of market share of [10-20] points. The new entity will face competition in the thrust reverser markets from Collins Aerospace ([40-50] % market share for commercial aircraft excluding new contracts and [40-50] % for large capacity aircraft excluding new contracts in 2018) and Safran ([10-20] % and [10-20] %).  </w:t>
        <w:br/>
        <w:t xml:space="preserve">38. In the markets specific to business aircraft, the new entity will have a market share of [30-40] %, with an addition of market share of [10-20] points in the global nacelle market. Furthermore, the market share of the new entity will reach [40-50] %, with an addition of market share of [10-20] points, in the markets for air intake cowls, fan cowls, and engine mounts for business aircraft. By incorporating a contract recently won by the acquirer [confidential], the previously presented market shares would increase by [5-10] points, reaching [30-40] % for the global market and [40-50] % for the markets for air intake cowls, fan cowls, and engine mounts. Additionally, the market share in the thrust reverser market will reach [20-30] %, with an addition of market share of [0-5] points. The notifying party indicates that it is unable to communicate the market shares of competitors for the supply of nacelle components for business aviation. It indicates that potential competitors in this market are Collins, Safran, GKN, and Leonardo. The notifying party also submitted a study regarding the aerostructures markets, in which the nacelle segment is analyzed together with the pylon segment. In this scope, the market shares of the suppliers presented in the report are detailed in the table below.  </w:t>
        <w:br/>
        <w:t xml:space="preserve">Market share  </w:t>
        <w:br/>
        <w:t xml:space="preserve">Collins Aerospace [30-40] %  </w:t>
        <w:br/>
        <w:t xml:space="preserve">Spirit [20-30] %  </w:t>
        <w:br/>
        <w:t xml:space="preserve">Safran Nacelles [20-30] %  </w:t>
        <w:br/>
        <w:t xml:space="preserve">Airbus [5-10] %  </w:t>
        <w:br/>
        <w:t>Boeing [5-10] %</w:t>
      </w:r>
    </w:p>
    <w:p>
      <w:r>
        <w:t xml:space="preserve">Bombardier (including target assets) [0-5] %  </w:t>
        <w:br/>
        <w:t xml:space="preserve">MRAS [0-5] %  </w:t>
        <w:br/>
        <w:t xml:space="preserve">GKN Aerospace [0-5] %  </w:t>
        <w:br/>
        <w:t xml:space="preserve">Nordam [0-5] %  </w:t>
        <w:br/>
        <w:t xml:space="preserve">Leonardo [0-5] %  </w:t>
        <w:br/>
        <w:t xml:space="preserve">Others [0-5] %  </w:t>
        <w:br/>
        <w:t>Source: Report "Aerostructures 2019, the fifteenth review of the aerostructures market," Counterpoint</w:t>
      </w:r>
    </w:p>
    <w:p>
      <w:r>
        <w:t xml:space="preserve">b) Competitive proximity of the parties  </w:t>
        <w:br/>
        <w:t xml:space="preserve">39. In the aerostructures markets, the parties are not the closest competitors.  </w:t>
        <w:br/>
        <w:t xml:space="preserve">40. Firstly, they do not focus on the same types of platforms. Indeed, Spirit has an activity centered on large capacity commercial aircraft. The strong presence of Spirit in large capacity commercial aircraft is notably explained by its historical relationship with Boeing, of which it was a subsidiary until 2005. In contrast, the target assets have an activity oriented more strongly towards regional and business aircraft, due to Bombardier's specialization as an aircraft manufacturer.  </w:t>
        <w:br/>
        <w:t xml:space="preserve">41. Furthermore, the parties rarely meet in the market. For example, based on the tenders issued by Airbus over the past five years (approximately [confidential] tenders), the notifying party identified only [confidential] tenders launched by Airbus to which both Spirit and the target assets participated, with Spirit having submitted bids for approximately [confidential] tenders.  </w:t>
        <w:br/>
        <w:t xml:space="preserve">42. Thus, in the markets (all commercial aircraft combined) relating to the forward fuselage and the central fuselage, Spirit only produces forward fuselages for large capacity commercial aircraft, while the target assets Bombardier produce fuselages for certain Bombardier business and regional platforms as well as for the A220 platform (formerly Bombardier's C-Series). While the latter aircraft is a commercial aircraft classified among large capacity aircraft, it is the smallest aircraft produced by Airbus. In the context of the decision to authorize Airbus's acquisition of a majority stake in this platform, the Bundeskartellamt considered that this model was not in direct competition with Airbus's main offering.  </w:t>
        <w:br/>
        <w:t xml:space="preserve">43. Moreover, it should be noted that the parties are almost never present on the same platforms, except for the Airbus A320neo platform, on which the target assets obtained the contract for thrust reversers (nacelles), and the Spirit group produces fixed leading edges and secondary wing structures.  </w:t>
        <w:br/>
        <w:t xml:space="preserve">c) Countervailing power of customers  </w:t>
        <w:br/>
        <w:t xml:space="preserve">44. Following the operation, beyond the presence of competitors, the new entity will continue to face a customer base constituting an oligopsony with strong countervailing power against its suppliers.  </w:t>
        <w:br/>
        <w:t xml:space="preserve">29 However, it has some contracts for business aircraft, including a contract for the supply of nacelle components [confidential] and a recently won contract [confidential]. It should be noted that the target assets do not supply components on this platform.  </w:t>
        <w:br/>
        <w:t xml:space="preserve">30 See the decision B9-165/17 of December 5, 2019, of the Bundeskartellamt and the press release related to this decision (https://www.bundeskartellamt.de/SharedDocs/Publikation/EN/Pressemitteilungen/2017/06_12_2017_Airbus_Bombardier.pdf?__blob=publicationFile&amp;v=3).  </w:t>
        <w:br/>
        <w:t>* Correction of material error.</w:t>
      </w:r>
    </w:p>
    <w:p>
      <w:r>
        <w:rPr>
          <w:b/>
        </w:rPr>
        <w:t>[Pages 13–15]</w:t>
      </w:r>
    </w:p>
    <w:p>
      <w:r>
        <w:t>45. The notifying party indicates that Boeing and Airbus represented 88% of the demand for commercial aircraft worldwide in 2018, this proportion being on the rise, with Airbus's acquisition of a majority stake in Bombardier's C-Series platform (now A220). Boeing and Airbus have an offering focused on large capacity aircraft. In the regional aviation and business aviation segments, where both manufacturers have a limited presence, the market is shared among five main players: Bombardier, Gulfstream, Textron, Dassault, and Embraer.</w:t>
      </w:r>
    </w:p>
    <w:p>
      <w:r>
        <w:t>46. This oligopsonistic structure of the suppliers' customer base is reinforced by the limited number of platforms produced by each manufacturer: Airbus (16 platforms), Boeing (11), Bombardier (13), Embraer (11), Dassault (6), and Gulfstream (6). This doubly limited offering reduces suppliers' outlets and restricts their market power. This can lead to a certain dependence of suppliers on their customers, which is particularly observed with the parties. Indeed, Boeing represents [confidential] % of Spirit's revenue, with the B737 platform alone accounting for [confidential] % of Spirit's total sales, while Airbus (in connection with the acquisition of a majority stake in the C-Series) and Bombardier represent [confidential] % of the total sales of the target assets.</w:t>
      </w:r>
    </w:p>
    <w:p>
      <w:r>
        <w:t>47. Furthermore, the manufacturers' ability to internalize the supply of components also contributes to limiting the bargaining power of suppliers, as manufacturers weigh the use of third-party suppliers against their own production capabilities. It appears that the manufacturers' internal production accounts for more than half of the global production of wings and fuselage. Nacelles are not heavily internalized by manufacturers, as the notifying party indicates, "they have an aerodynamic and engine protection function rather than a structural function. Nacelles are also closely linked to the engines that aircraft OEMs outsource to engine OEM manufacturers." However, the notifying party indicates that manufacturers are gradually developing this integration, with Airbus deciding to integrate components for the A320neo platform family (previously produced by the target assets), Boeing for the B737MAX, and Gulfstream for the G500 and G600 platforms.</w:t>
      </w:r>
    </w:p>
    <w:p>
      <w:r>
        <w:t>48. Additionally, manufacturers maintain pricing pressure on suppliers, even after a contract is concluded. Indeed, both Boeing and Airbus have cost reduction programs for ongoing platforms, relying in particular on competitiveness clauses provided in contracts. Under this type of clause, the manufacturer can issue requests for information and calls for tenders during the contract period to learn about the supply conditions of competitors. In the event that one or more responses are more competitive than the conditions of the ongoing contract, the manufacturer can require its supplier to improve its pricing conditions as part of a competitiveness improvement plan. The notifying party indicates that, in the case of the existing contract between the target assets and [confidential]. Manufacturers may also resort to "most favored customer" clauses under which the supplier guarantees to the manufacturer that the conditions granted to it are at least as favorable as those granted to another customer.</w:t>
      </w:r>
    </w:p>
    <w:p>
      <w:r>
        <w:t>49. Furthermore, the notifying party argues that manufacturers hold the majority of the intellectual property rights of the products and essential tooling used in the design of aerostructures by suppliers. It emphasizes that the provisions of the agreements concluded between Spirit and [confidential].</w:t>
      </w:r>
    </w:p>
    <w:p>
      <w:r>
        <w:t>50. In the specific case of nacelles, the customers of first-tier suppliers are not the manufacturers but the engine producers. Indeed, nacelles are closely linked to engines. Contracts are generally concluded between engine producers and first-tier suppliers. However, the notifying party indicates that manufacturers remain involved in the choice of nacelle supplier and that engine suppliers have significant market power due to a limited number of players (notably Rolls Royce, Pratt &amp; Whitney (UTC), and General Electric) as well as vertical integration in this segment. Indeed, Pratt &amp; Whitney (UTC) acquired Goodrich in 2012 and Rockwell Collins in 2018 (now Collins Aerospace), while General Electric and Safran created a joint venture (CFM International).</w:t>
      </w:r>
    </w:p>
    <w:p>
      <w:r>
        <w:t>51. Thus, manufacturers and engine suppliers have sufficient bargaining power to counterbalance the positions of the new entity in the markets related to the forward fuselage and central fuselage as well as in the markets for nacelles and their various components.</w:t>
      </w:r>
    </w:p>
    <w:p>
      <w:r>
        <w:t>52. Consequently, in light of the presence of competitors in the market, the relative competitive distance between the parties, and the countervailing power of the parties' customers, the operation is not likely to harm competition through horizontal effects in the aerostructures markets and their components.</w:t>
      </w:r>
    </w:p>
    <w:p>
      <w:r>
        <w:t>2. MARKETS FOR SPARE PARTS AND MAINTENANCE SERVICES ("MRO")</w:t>
      </w:r>
    </w:p>
    <w:p>
      <w:r>
        <w:t>53. The activities of the parties overlap in the markets for spare parts and maintenance services.</w:t>
      </w:r>
    </w:p>
    <w:p>
      <w:r>
        <w:t>54. The notifying party estimates that the market shares of the new entity are below 10% regardless of the segmentation chosen.</w:t>
      </w:r>
    </w:p>
    <w:p>
      <w:r>
        <w:t>55. Spirit only provides maintenance services for components and spare parts for its own components, and the target assets do not provide after-sales services for components manufactured by Spirit. Furthermore, Spirit and the target assets do not provide components for the same platforms.</w:t>
      </w:r>
    </w:p>
    <w:p>
      <w:r>
        <w:t>56. Consequently, the operation is not likely to harm competition through horizontal effects in the markets for spare parts and maintenance services.</w:t>
      </w:r>
    </w:p>
    <w:p>
      <w:r>
        <w:t>B. ANALYSIS OF NON-HORIZONTAL EFFECTS</w:t>
      </w:r>
    </w:p>
    <w:p>
      <w:r>
        <w:t>57. A vertical concentration can restrict competition by making it more difficult to access the markets in which the new entity will be active, potentially driving out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58. Furthermore, a concentration may lead to conglomerate effects when the new entity extends or strengthens its presence in markets that are connected to other markets in which it holds market power.</w:t>
      </w:r>
    </w:p>
    <w:p>
      <w:r>
        <w:t>59. However, decision-making practice generally considers that a risk of vertical or conglomerate effect can be ruled out as long as the market share of the entity resulting from the operation in the relevant markets does not exceed 30%.</w:t>
      </w:r>
    </w:p>
    <w:p>
      <w:r>
        <w:t>60. In this case, in the various markets for each aerostructure (nacelle, fuselage, wing), there is a vertical link between the markets for aerostructure components and the market for assembled aerostructures. There may also be a vertical link between the markets for sub-components and the markets for components.</w:t>
      </w:r>
    </w:p>
    <w:p>
      <w:r>
        <w:t>61. Furthermore, there may be a conglomerate link between the different components of aerostructures. However, due to the functioning of the market and the specialization of certain suppliers in a single type of aerostructure, tenders do not have a cross-cutting nature between different aerostructures. Consequently, there is no real link of connectivity between the components of different aerostructures. The only exception concerns pylons that allow the nacelle to be attached to the wing and may therefore present a link of connectivity with the nacelles.</w:t>
      </w:r>
    </w:p>
    <w:p>
      <w:r>
        <w:t>62. Consequently, the analysis will therefore focus primarily on non-horizontal effects within each category of aerostructure (wings, nacelles, and fuselages).</w:t>
      </w:r>
    </w:p>
    <w:p>
      <w:r>
        <w:t>63. As a preamble, regarding the ability of the new entity to establish a lock-in of entrants, it should be recalled that the aerostructure components of the parties are either sold directly to manufacturers who internally assemble the aerostructure or used internally by the parties in the assembly of the aerostructure.</w:t>
      </w:r>
    </w:p>
    <w:p>
      <w:r>
        <w:t>64. Thus, in this case, a potential lock-in of inputs would consist of refusing direct sales of components to manufacturers to impose assembly services on them.</w:t>
      </w:r>
    </w:p>
    <w:p>
      <w:r>
        <w:t>65. In this context, the countervailing power of manufacturers and engine manufacturers, as analyzed in paragraphs 37 and following of this decision, is likely to significantly limit the ability of the new entity to establish such a lock-in.</w:t>
      </w:r>
    </w:p>
    <w:p>
      <w:r>
        <w:t>a) Wings</w:t>
      </w:r>
    </w:p>
    <w:p>
      <w:r>
        <w:t>66. The markets for wing components (or sub-components) where the parties hold a market share greater than 30% in 2018, as well as the downstream markets concerned by a vertical link, are detailed in the table below.</w:t>
      </w:r>
    </w:p>
    <w:p>
      <w:r>
        <w:rPr>
          <w:b/>
        </w:rPr>
        <w:t>[Pages 16–18]</w:t>
      </w:r>
    </w:p>
    <w:p>
      <w:r>
        <w:t>Upstream Market Downstream Market if vertical link</w:t>
        <w:br/>
        <w:t>Market Share Aerostructures Market Share</w:t>
        <w:br/>
        <w:t>Components (addition of market share between (addition of market share between</w:t>
        <w:br/>
        <w:t>parentheses) or components parentheses)</w:t>
        <w:br/>
        <w:t>All commercial aircraft</w:t>
        <w:br/>
        <w:t>[60-70] %</w:t>
        <w:br/>
        <w:t>Leading edges</w:t>
        <w:br/>
        <w:t>(+[0-5] points)</w:t>
        <w:br/>
        <w:t>Mobile devices [40-50] %</w:t>
        <w:br/>
        <w:t>of leading edge [0-5] %</w:t>
        <w:br/>
        <w:t>Assembled wings (+[0-5] points)</w:t>
        <w:br/>
        <w:t>Secondary wing [30-40] %</w:t>
        <w:br/>
        <w:t>structures (+[0-5] points)</w:t>
        <w:br/>
        <w:t>Leading edge rails [70-80]%* Mobile devices [40-50] %</w:t>
        <w:br/>
        <w:t>of leading edge (-) of leading edge (+[0-5] points)</w:t>
        <w:br/>
        <w:t>Large capacity commercial aircraft</w:t>
        <w:br/>
        <w:t>Leading edges [60-70] %</w:t>
        <w:br/>
        <w:t>(-)</w:t>
        <w:br/>
        <w:t>Mobile devices [40-50]% [0-5] %</w:t>
        <w:br/>
        <w:t>of leading edge</w:t>
        <w:br/>
        <w:t>Assembled wings</w:t>
        <w:br/>
        <w:t>of leading edge (-) (-)</w:t>
        <w:br/>
        <w:t>Secondary wing [40-50] %</w:t>
        <w:br/>
        <w:t>structures (-)</w:t>
        <w:br/>
        <w:t>* The notifying party indicates that the market share of the acquirer for leading edge rails decreased in 2019 to [confidential].</w:t>
        <w:br/>
        <w:t>67. The operation is not likely to lead to a change in the incentives to implement linked sales strategies between the various components of the wings due to the low additions of market share upstream and the absence of addition of market share downstream concerning the assembled wings.</w:t>
        <w:br/>
        <w:t>68. Similarly, the risks of locking in on the markets for leading edge rails and mobile devices of leading edge (all commercial aircraft) can be excluded insofar as the operation does not change the incentives to implement such locking, the pre-existing vertical link to the operation and the addition of market share being less than [0-5] points in this market.</w:t>
        <w:br/>
        <w:t>69. The operation also leads to the creation of a vertical link in the activities of the new entity between the components of the wings (predominantly produced by Spirit) and the assembled wings (where only the target assets are present). However, it should be noted that, according to the notifying party, aircraft manufacturers almost systematically choose to assemble the wings themselves. The target assets are only present in this market due to the majority stake taken by Airbus in Bombardier's C-Series (now A220), which mechanically led to the outsourcing of wing assembly by Airbus to Bombardier.</w:t>
        <w:br/>
        <w:t>70. In any case, the risk of customer lock-in downstream in the assembled wings market can be ruled out due to the very limited market share of the new entity (less than [0-5] points).</w:t>
        <w:br/>
        <w:t>71. In the upstream markets, there will be alternatives to the new entity such as (i) for leading edges, Triumph (market shares: [5-10]% [all commercial aircraft] and [5-10]% [large capacity commercial aircraft]), KAI ([0-5]% and [5-10]%), Aero Vodochody ([0-5]% and [0-5]%), (ii) for mobile devices of leading edge, Sonaca ([40-50]% and [40-50]%) and Leonardo/Alenia ([0-5]% and [0-5]%) and (iii) for secondary wing structures, Triumph ([10-20]% and [10-20]%), Saab/GKN ([0-5]% and [0-5]%) and Salver/GKN ([0-5]% and [0-5]%).</w:t>
        <w:br/>
        <w:t>72. Furthermore, aircraft manufacturers have the capacity (i) to change suppliers, (ii) to sponsor the entry of new entrants, which the Commission confirmed for leading edge rails in the aforementioned Spirit/Asco decision, and (iii) to internalize production. Thus, Airbus, Boeing, Bombardier (excluding target assets), and Embraer produce leading edges for their own needs. The notifying party estimates that the internal production of aircraft manufacturers represents [10-20]% of global leading edge production in 2018.</w:t>
        <w:br/>
        <w:t>73. Consequently, the new entity will not have the capacity to implement locking mechanisms or tied sales in the markets related to wings.</w:t>
        <w:br/>
        <w:t>b) Nacelles</w:t>
        <w:br/>
        <w:t>The markets for nacelle components on which the parties have a market share greater than 30% in 2018 as well as the downstream markets concerned by a vertical link are detailed in the table below.</w:t>
        <w:br/>
        <w:t>35 The market shares indicated in the paragraph are those of the global market. For the market specific to large capacity commercial aircraft, the market shares of competitors are as follows (i) for leading edges, Triumph ([5-10]%), KAI ([5-10]%), Aero Vodochody ([0-5]%), (ii) for mobile devices of leading edge, Sonaca ([40-50]%) and Leonardo/Alenia ([0-5]%) and (iii) for secondary wing structures, Triumph ([10-20]%) and Saab/GKN ([0-5]%) and Salver/GKN ([0-5]%).</w:t>
        <w:br/>
        <w:t>36 The parties indicated that they are not present in the sub-component markets for nacelles.</w:t>
      </w:r>
    </w:p>
    <w:p>
      <w:r>
        <w:t>Upstream Market Downstream Market if vertical link</w:t>
        <w:br/>
        <w:t>Market Share Market Share</w:t>
        <w:br/>
        <w:t>Aerostructures</w:t>
        <w:br/>
        <w:t>Components (addition of market share) (addition of market share)</w:t>
        <w:br/>
        <w:t>All commercial aircraft</w:t>
        <w:br/>
        <w:t>[30-40] – [40-50]% Nacelles [0-5]%</w:t>
        <w:br/>
        <w:t>Thrust reversers (between [0-5] and [10-20] points)</w:t>
        <w:br/>
        <w:t>assembled (+[0-5] points)</w:t>
        <w:br/>
        <w:t>[40-50]%*</w:t>
        <w:br/>
        <w:t>Pylons</w:t>
        <w:br/>
        <w:t>(-)</w:t>
        <w:br/>
        <w:t>Large capacity commercial aircraft</w:t>
        <w:br/>
        <w:t>[30-40] – [40-50]%</w:t>
        <w:br/>
        <w:t>Nacelles</w:t>
        <w:br/>
        <w:t>Thrust reversers (between [0-5] and [10-20] [0-5]%</w:t>
        <w:br/>
        <w:t>assembled</w:t>
        <w:br/>
        <w:t>points)</w:t>
        <w:br/>
        <w:t>Business aircraft</w:t>
        <w:br/>
        <w:t>[40-50]%-[40-50]%</w:t>
        <w:br/>
        <w:t>Air intake cowls (between [10-20] and [20-30]</w:t>
        <w:br/>
        <w:t>points)</w:t>
        <w:br/>
        <w:t>[40-50]%-[40-50]%</w:t>
        <w:br/>
        <w:t>Nacelles [20-30]%</w:t>
        <w:br/>
        <w:t>Fan cowls (between [10-20] and [20-30]</w:t>
        <w:br/>
        <w:t>assembled (+[0-5] points)</w:t>
        <w:br/>
        <w:t>points)</w:t>
        <w:br/>
        <w:t>[40-50]%-[40-50]%</w:t>
        <w:br/>
        <w:t>Engine mounts (between [10-20] and [20-30]</w:t>
        <w:br/>
        <w:t>points)</w:t>
        <w:br/>
        <w:t>74. The operation is not likely to lead to a risk of conglomerate effects between the pylons and the various elements of the nacelle. Firstly, these elements are subject to separate tenders, which significantly reduces the ability of players to link their offers. Furthermore, as indicated in paragraphs 37 and following of this decision, aircraft manufacturers have sufficient negotiating power to defuse any leverage as there are alternative suppliers.</w:t>
        <w:br/>
        <w:t>75. Moreover, given the position of the new entity in the assembled nacelles market, regardless of the segmentation chosen, the new entity will not be able to establish customer lock-in downstream, as competing suppliers present upstream have alternatives.</w:t>
        <w:br/>
        <w:t>76. In the upstream markets, the ability of the new entity to establish such lock-in is limited by the existence of alternative suppliers of nacelle components such as Collins Aerospace and Safran (see paragraph 32), some suppliers being vertically integrated with engine manufacturers.</w:t>
        <w:br/>
        <w:t>77. Furthermore, the new entity will face the negotiating power of both aircraft manufacturers and engine manufacturers (see paragraphs 37 and following of this decision), who will, after the operation, be able to defuse such behavior.</w:t>
        <w:br/>
        <w:t>* Correction of material error.</w:t>
      </w:r>
    </w:p>
    <w:p>
      <w:r>
        <w:rPr>
          <w:b/>
        </w:rPr>
        <w:t>[Pages 19–21]</w:t>
      </w:r>
    </w:p>
    <w:p>
      <w:r>
        <w:t>78. Consequently, the new entity will not have the capacity to implement locking mechanisms or tied selling in the markets related to nacelles.</w:t>
      </w:r>
    </w:p>
    <w:p>
      <w:r>
        <w:t>c) Fuselage</w:t>
      </w:r>
    </w:p>
    <w:p>
      <w:r>
        <w:t>79. The markets for fuselage components where the parties have a market share exceeding 30% in 2018, as well as the downstream markets concerned by a vertical link, are detailed in the table below.</w:t>
      </w:r>
    </w:p>
    <w:p>
      <w:r>
        <w:t>Upstream Market Downstream Market</w:t>
        <w:br/>
        <w:t>Market Share Market Share</w:t>
        <w:br/>
        <w:t>Aerostructures</w:t>
        <w:br/>
        <w:t>Components</w:t>
        <w:br/>
        <w:t>(sum of market share indicated in parentheses) (sum of market share indicated in parentheses)</w:t>
        <w:br/>
        <w:t>All commercial aircraft</w:t>
        <w:br/>
        <w:t>[30-40] %</w:t>
        <w:br/>
        <w:t>Cockpit fuselages</w:t>
        <w:br/>
        <w:t>(+[0-5] points)</w:t>
        <w:br/>
        <w:t>[30-40] % Assembled fuselages [20-30] %</w:t>
        <w:br/>
        <w:t>Forward fuselages</w:t>
        <w:br/>
        <w:t>(+[0-5] points) (+[0-5] points)</w:t>
        <w:br/>
        <w:t>[30-40]%*</w:t>
        <w:br/>
        <w:t>Central fuselages</w:t>
        <w:br/>
        <w:t>(+[0-5] points)</w:t>
        <w:br/>
        <w:t>Large capacity commercial aircraft</w:t>
        <w:br/>
        <w:t>[30-40] % [20-30] %</w:t>
        <w:br/>
        <w:t>Central fuselages Assembled fuselages</w:t>
        <w:br/>
        <w:t>(+[-5] points) (-)</w:t>
      </w:r>
    </w:p>
    <w:p>
      <w:r>
        <w:t>80. The operation does not lead to the creation of a vertical link, as the acquirer already has an activity supplying fuselage components and assembled fuselages. Furthermore, the operation leads to very limited market share additions (less than [0-5] points for central and forward fuselages, less than [0-5] points for cockpit fuselages), which is not likely to significantly alter the capacity and incentives of the new entity to implement input locking strategies or tied selling.</w:t>
      </w:r>
    </w:p>
    <w:p>
      <w:r>
        <w:t>81. The risk of locking customer access in these markets can be excluded, as upstream competitors have alternatives downstream, with the new entity's market shares in the downstream market being below 30%.</w:t>
      </w:r>
    </w:p>
    <w:p>
      <w:r>
        <w:t>82. The notifying party emphasizes that aircraft manufacturers almost systematically choose to assemble fuselages in-house. It states that it is not aware of other suppliers assembling fuselages on behalf of aircraft manufacturers.</w:t>
      </w:r>
    </w:p>
    <w:p>
      <w:r>
        <w:t>83. The presence of Spirit and the target assets in the assembled fuselage market is explained by their historical ties with Boeing and Bombardier, respectively. Indeed, Spirit only supplies the assembled fuselage of the B737 platform, a supply contract dating back to when Spirit was a subsidiary of Boeing. Similarly, the target assets [confidential]*. Due to the rarity of outsourcing fuselage assembly, it is unlikely that the new entity will be able to implement customer locking, as there is no real demand for fuselage assembly from first-tier suppliers.</w:t>
      </w:r>
    </w:p>
    <w:p>
      <w:r>
        <w:t>* Rectification of material error.</w:t>
      </w:r>
    </w:p>
    <w:p>
      <w:r>
        <w:t>84. As previously developed (see paragraphs 27 and 28), the new entity would not have the capacity to implement input locking, as there are alternatives such as Alenia, MHI, KHI, and AVIC. Moreover, as indicated in paragraph 40, aircraft manufacturers have internal production capacities for fuselage components.</w:t>
      </w:r>
    </w:p>
    <w:p>
      <w:r>
        <w:t>85. Consequently, the new entity will not have the capacity to implement locking mechanisms or tied selling in the markets related to fuselages.</w:t>
      </w:r>
    </w:p>
    <w:p>
      <w:r>
        <w:t>86. To the extent that the new entity will thus not have the capacity to implement locking or tied selling strategies in the markets related to wings, nacelles, and fuselages, any risk of harm to competition through non-horizontal effects can be ruled out.</w:t>
      </w:r>
    </w:p>
    <w:p>
      <w:r>
        <w:t>87. The Authority notes that, assuming it is considered that the new entity has the capacity to implement the aforementioned strategies, it would not have the incentives to do so.</w:t>
      </w:r>
    </w:p>
    <w:p>
      <w:r>
        <w:t>88. Regarding a customer locking strategy, as indicated in paragraphs 66, 71, and 77, the new entity will not have the capacity to implement a customer locking strategy across all markets except for the market for mobile leading edge devices. In this market, the Commission considered it unlikely that Spirit would benefit from such a strategy as it does not have the capacity to raise prices in the downstream markets due to the countervailing power of aircraft manufacturers (see paragraphs 44 and following).</w:t>
      </w:r>
    </w:p>
    <w:p>
      <w:r>
        <w:t>89. Implementing input locking would be detrimental to the new entity in the short term due to the loss of a revenue source related to a long-term contract and the existence of indemnity risk in case of non-compliance with supply contracts.</w:t>
      </w:r>
    </w:p>
    <w:p>
      <w:r>
        <w:t>90. Indeed, the Commission noted in the Spirit/Asco decision that any attempt to lock access to inputs under a pre-existing supply contract would result in a loss of revenue and a significant risk of litigation and penalties.</w:t>
      </w:r>
    </w:p>
    <w:p>
      <w:r>
        <w:t>91. Furthermore, input locking only makes sense if the new entity is able to increase its market shares downstream. However, it is unlikely that the new entity will be able to achieve this due to the tendering nature of the market, the length of the contracts concluded, and the ability of downstream competitors to have alternatives upstream.</w:t>
      </w:r>
    </w:p>
    <w:p>
      <w:r>
        <w:t>92. This strategy would also be detrimental in the medium term, as it would degrade the relationship of the new entity with aircraft manufacturers. As previously indicated, aircraft manufacturers constitute an oligopsony (see paragraphs 37 and following) while suppliers are relatively numerous. Implementing such a strategy could harm the new entity as, as stated by the notifying party, "the [aircraft manufacturers] will have effective means to respond quickly against any imposition of supracompetitive conditions, either by sponsoring new entries, internalizing the corresponding work, or retaliating against Spirit in various ways through the multiple business ties that currently bind them to Spirit."</w:t>
      </w:r>
    </w:p>
    <w:p>
      <w:r>
        <w:t>DECIDES</w:t>
      </w:r>
    </w:p>
    <w:p>
      <w:r>
        <w:t>Sole Article: The operation notified under number 20-028 is authorized.</w:t>
      </w:r>
    </w:p>
    <w:p>
      <w: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