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https://www.autoritedelaconcurrence.fr/fr/decision-de-controle-des-concentrations/relative-la-prise-de-controle-exclusif-des-societes-sitpa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24-DCC-64 of April 11, 2024  </w:t>
        <w:br/>
        <w:t xml:space="preserve">regarding the exclusive control acquisition of the companies SITPA and Mousline  </w:t>
        <w:br/>
        <w:t xml:space="preserve">by the investment fund FNB Private Equity  </w:t>
        <w:br/>
        <w:t xml:space="preserve">The Competition Authority,  </w:t>
        <w:br/>
        <w:t xml:space="preserve">Having regard to the complete notification file submitted to the mergers department on March 21, 2024,  </w:t>
        <w:br/>
        <w:t xml:space="preserve">concerning the exclusive control acquisition of the companies SITPA and Mousline by the investment  </w:t>
        <w:br/>
        <w:t xml:space="preserve">fund FNB Private Equity, formalized by a share purchase agreement dated June 29, 2022, and a put option agreement dated January 26,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of the companies SITPA and Mousline  </w:t>
        <w:br/>
        <w:t xml:space="preserve">by the investment fund FNB Private Equity. The companies SITPA and Mousline are active  </w:t>
        <w:br/>
        <w:t xml:space="preserve">in the markets for baby food and dehydrated potatoes. It constitutes a concentration operation within the meaning of Article L. 430-1 of the Commercial Code. Given the  </w:t>
        <w:br/>
        <w:t xml:space="preserve">turnover achieved by the companies concerned,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24-057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