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https://www.autoritedelaconcurrence.fr/fr/decision-de-controle-des-concentrations/relative-la-prise-de-controle-exclusif-des-societes-societe</w:t>
      </w:r>
    </w:p>
    <w:p>
      <w:r>
        <w:t>Pages translated : 2</w:t>
      </w:r>
    </w:p>
    <w:p/>
    <w:p>
      <w:r>
        <w:rPr>
          <w:b/>
        </w:rPr>
        <w:t>[Pages 1–2]</w:t>
      </w:r>
    </w:p>
    <w:p>
      <w:r>
        <w:t xml:space="preserve">FRENCH REPUBLIC  </w:t>
        <w:br/>
        <w:t xml:space="preserve">Decision No. 17-DCC-224 of December 22, 2017  </w:t>
        <w:br/>
        <w:t xml:space="preserve">regarding the exclusive control acquisition of Société Vauclusienne d’Automobiles and Société Orange Service Automobiles by the company PGA Motors  </w:t>
        <w:br/>
        <w:t xml:space="preserve">The Competition Authority,  </w:t>
        <w:br/>
        <w:t xml:space="preserve">Having regard to the complete notification file submitted to the mergers department on December 4, 2017, concerning the exclusive control acquisition of Société Vauclusienne d’Automobiles and Société Orange Service Automobiles by the company PGA Motors, formalized by a letter of intent dated November 13,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PGA Motors of the exclusive control of Société Vauclusienne d’Automobiles and Société Orange Service Automobiles, which are active in the sectors of distribution and repair of Renault and Dacia brand motor vehicles, in the department of Vaucluse (84).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17-264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