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https://www.autoritedelaconcurrence.fr/fr/decision-de-controle-des-concentrations/relative-la-prise-de-controle-exclusif-des-societes-socolam</w:t>
      </w:r>
    </w:p>
    <w:p>
      <w:r>
        <w:t>Pages translated : 7</w:t>
      </w:r>
    </w:p>
    <w:p/>
    <w:p>
      <w:r>
        <w:rPr>
          <w:b/>
        </w:rPr>
        <w:t>[Pages 1–3]</w:t>
      </w:r>
    </w:p>
    <w:p>
      <w:r>
        <w:t xml:space="preserve">FRENCH REPUBLIC  </w:t>
        <w:br/>
        <w:t xml:space="preserve">Decision No. 12-DCC-59 of May 4, 2012  </w:t>
        <w:br/>
        <w:t xml:space="preserve">regarding the exclusive control of the companies Socolam, Somacom  </w:t>
        <w:br/>
        <w:t xml:space="preserve">and René Lancry (assets of the Lancry Group) by the company Socohold  </w:t>
        <w:br/>
        <w:t xml:space="preserve">(Parfait Group)  </w:t>
        <w:br/>
        <w:t xml:space="preserve">The Competition Authority,  </w:t>
        <w:br/>
        <w:t xml:space="preserve">Having regard to the notification file sent to the concentrations service on December 23, 2011, and declared complete on March 7, 2012, concerning the acquisition of the companies Socolam, Somacom, and René Lancry by the company Socohold, formalized by indivisible takeover offers presented by the Parfait Group on December 12, 2011, and by a decision of the mixed commercial court of Fort-de-France dated January 13, 2012;  </w:t>
        <w:br/>
        <w:t xml:space="preserve">Having regard to Book IV of the Commercial Code relating to price freedom and competition, and in particular its Articles L. 430-1 to L. 430-7;  </w:t>
        <w:br/>
        <w:t xml:space="preserve">Having regard to the commitments presented on April 10, 2012, last modified on April 26, 2012, by the notifying party;  </w:t>
        <w:br/>
        <w:t xml:space="preserve">Having regard to the supplementary elements transmitted by the parties during the investigation;  </w:t>
        <w:br/>
        <w:t xml:space="preserve">Adopts the following decision:  </w:t>
        <w:br/>
        <w:t xml:space="preserve">I. The concerned companies and the operation  </w:t>
        <w:br/>
        <w:t>1. The Parfait group controls several subsidiaries active in Martinique and Guadeloupe in the sectors of automotive distribution, food distribution, interior decoration, and photography. The group is controlled by members of the Parfait family, who together hold […] % of Cofindus Holding, […] % of AGM Holding, […] % of Socohold, and […] % of Socodis. No shareholders' agreement governs the control rules within the group, but the Parfait family considers that it effectively controls all these companies given the family ties that unite them. However, the question of the exact nature of the control exercised by the members of the Parfait family over the Parfait group can be left open as it is irrelevant in this case.</w:t>
      </w:r>
    </w:p>
    <w:p>
      <w:r>
        <w:t>2. Within the Parfait group, Socohold is a simplified joint-stock company that directly or indirectly holds the capital of the companies Socomex, Socopoint, and Socodéco, which respectively operate the Hyper U La Galléria and Hyper U Le Rond Point hypermarkets, located respectively in Lamentin and Fort-de-France in Martinique, as well as the store under the brand name "La Chaise Longue" located in the shopping mall of Hyper U La Galléria. The companies Socomex and Socopoint have together created an economic interest group with the activity of a central purchasing office and the implementation of advertising operations on behalf of the operating companies of the Parfait group.</w:t>
      </w:r>
    </w:p>
    <w:p>
      <w:r>
        <w:t>3. The simplified joint-stock companies Socolam, Somacom, and René Lancry, currently controlled by the Hedder Lancry group, the company at the head of the group of the same name, operate the business assets of two hypermarkets, located in Lamentin in Martinique, and a logistics platform. The hypermarkets, with respective commercial areas of 5,730 m² and 2,800 m², are currently operated under the Leclerc brand. Their supply is ensured from the René Lancry logistics platform.</w:t>
      </w:r>
    </w:p>
    <w:p>
      <w:r>
        <w:t>4. By judgment of February 22, 2011, the mixed commercial court of Fort-de-France placed the companies Socolam, Somacom, and René Lancry in judicial recovery. The Parfait group submitted takeover offers on December 12, 2011, which were accepted by judgment of the court on January 13, 2012.</w:t>
      </w:r>
    </w:p>
    <w:p>
      <w:r>
        <w:t>5. Insofar as it leads to the exclusive control by the Parfait group of the Leclerc hypermarkets Place d'Armes and Long Pré and the logistics platform of the Lancry group, the operation constitutes a concentration within the meaning of Article L.430-1 of the Commercial Code.</w:t>
      </w:r>
    </w:p>
    <w:p>
      <w:r>
        <w:t>6. The concerned companies together achieve a total worldwide turnover of more than 75 million euros (Parfait Group: […] million euros for the fiscal year ending December 31, 2010; companies Socolam, Somacom, and René Lancry: […] million euros for the fiscal year ending February 28, 2010). Each achieves a turnover in Martinique exceeding 7.5 million euros in retail trade (Parfait Group: […] million euros for the fiscal year ending December 31, 2010; Socolam, Somacom, and René Lancry: […] million euros for the fiscal year ending February 28, 2010). Given these turnover figures, the operation does not have a community dimension. On the other hand, the thresholds related to retail trade mentioned in point III of Article L. 430-2 of the Commercial Code are exceeded. This operation is therefore subject to the provisions of Articles L. 430-3 and following of the same code relating to economic concentration.</w:t>
      </w:r>
    </w:p>
    <w:p>
      <w:r>
        <w:t xml:space="preserve">II. Definition of relevant markets  </w:t>
        <w:br/>
        <w:t>7. According to the consistent practice of national and community competition authorities, two categories of markets can be defined in the food-dominant retail sector. These are, on the one hand, "downstream" markets, of a local dimension, which bring together retail trade companies and consumers for the sale of consumer goods, and, on the other hand, "upstream" markets for supplying retail trade companies with everyday consumer goods, of a national dimension.</w:t>
      </w:r>
    </w:p>
    <w:p>
      <w:r>
        <w:t xml:space="preserve">A. DOWNSTREAM MARKETS OF RETAIL DISTRIBUTION WITH A FOOD DOMINANCE  </w:t>
        <w:br/>
        <w:t xml:space="preserve">1. SERVICE MARKETS  </w:t>
        <w:br/>
        <w:t>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w:t>
      </w:r>
    </w:p>
    <w:p>
      <w:r>
        <w:t>9. Hypermarkets are usually defined as stores with a food dominance and a legal sales area exceeding 2,500 m². In the case at hand, the operation concerns the acquisition of two business assets operated under the Leclerc brand, which currently occupy a sales area of 5,730 m² and 2,800 m². Consequently, the business assets located at Place d'Armes and Long Pré fall into the category of hypermarkets.</w:t>
      </w:r>
    </w:p>
    <w:p>
      <w:r>
        <w:t>10. However, while the overall service provided by hypermarkets (product diversity, depth of ranges, accessibility, low prices) is specific and not provided by any other form of commerce, the size criterion that determines, between supermarkets and hypermarkets, the extent of the assortment of ranges must be used in each case with caution, as stores whose area is close to the threshold that serves to distinguish them (2,500 m²), whether below or above, may, in fact, be in direct competition. Therefore, the conditions under which the market actually operates are taken into account, notably the fact that, in a number of geographical configurations, a hypermarket may be habitually used by certain consumers as a proximity store, in substitution for a supermarket. Conversely, the reverse is almost never verified and is even less so as the size of the hypermarket in question is significant.</w:t>
      </w:r>
    </w:p>
    <w:p>
      <w:r>
        <w:t>11. Consequently, the analysis is conducted, on the one hand, on a market comprising only hypermarkets and, on the other hand, on a market including all formats (hypermarkets, supermarkets, hard-discounters), excluding convenience stores (less than 400 m²).</w:t>
      </w:r>
    </w:p>
    <w:p>
      <w:r>
        <w:t xml:space="preserve">2. GEOGRAPHICAL DELIMITATION  </w:t>
        <w:br/>
        <w:t xml:space="preserve">12. In its recent decisions regarding operations involving hypermarkets or supermarkets, the Competition Authority has recalled that depending on the size of the stores concerned, the conditions of competition should be assessed in two different areas:  </w:t>
        <w:br/>
        <w:t xml:space="preserve">- a first area where consumer demand meets the supply of hypermarkets that they can access within 30 minutes of driving and which are, from their perspective, substitutable for each other;  </w:t>
        <w:br/>
        <w:t>- a second area where consumer demand meets the supply of supermarkets and other equivalent forms of commerce located within 15 minutes of driving time. These latter forms of commerce may include, in addition to supermarkets, hypermarkets located near consumers and discount stores.</w:t>
      </w:r>
    </w:p>
    <w:p>
      <w:r>
        <w:t>13. Other criteria may nevertheless be taken into account to assess the impact of a concentration on the competitive situation in retail distribution markets, this</w:t>
      </w:r>
    </w:p>
    <w:p>
      <w:r>
        <w:rPr>
          <w:b/>
        </w:rPr>
        <w:t>[Pages 4–6]</w:t>
      </w:r>
    </w:p>
    <w:p>
      <w:r>
        <w:t>which can lead to refining the usual boundaries presented above. In the case at hand, and as considered by the decision-making practice of the Competition Authority1, it is appropriate to take into account the specificities of Martinique.</w:t>
      </w:r>
    </w:p>
    <w:p>
      <w:r>
        <w:t>14. The notifying party argues in this regard that, given the small size of the island of Martinique and its topographical specificities, all the stores located on the island are in competition with each other. It explains that economic activity is concentrated in the central area, from Schœlcher in the west, to Le Robert in the north, to Le François in the east, and to Rivière-Salée in the south, and that a large part of the inhabitants of Martinique, residing elsewhere throughout the entire territory of the island, work in this region and therefore commute daily to the Foyal plain. It adds that the demographic growth, economic dynamism, the opening of new stores, as well as the development of road infrastructures and the new traffic habits observed in Martinique in recent years confirm that the entire island should be considered as a single relevant geographic market.</w:t>
      </w:r>
    </w:p>
    <w:p>
      <w:r>
        <w:t>15. However, most economic actors interviewed as part of the market test do not confirm this analysis, observing that the points of sale located in the north and south of the island exert only weak competitive pressure on the food-dominant offer of the Foyal plain and considering that the development of road infrastructures has not, in this regard, significantly changed the traffic conditions. On the other hand, the target hypermarkets being located in Lamentin, the offer of hypermarkets located in Ducos and Le Robert constitutes a credible alternative for a portion of the concerned consumers and can be taken into account to assess the effects of the operation.</w:t>
      </w:r>
    </w:p>
    <w:p>
      <w:r>
        <w:t>16. Therefore, the competitive analysis, in this case, will be conducted on the hypermarket segment in the area of Fort-de-France, Schœlcher, Le Lamentin, Ducos, and Le Robert. The effects of the operation will also be examined on the hypermarket, supermarket, and hard discount segment in an area located within a 15-minute drive from the target stores.</w:t>
      </w:r>
    </w:p>
    <w:p>
      <w:r>
        <w:t>B. UPSTREAM SUPPLY MARKETS</w:t>
      </w:r>
    </w:p>
    <w:p>
      <w:r>
        <w:t>1. PRODUCT MARKETS</w:t>
      </w:r>
    </w:p>
    <w:p>
      <w:r>
        <w:t>17. Regarding the supply markets, the European Commission2 has recognized the existence of national markets by major product groups, a delimitation followed by national authorities3. However, in these markets, the decision-making practice of competition authorities does not distinguish between sales from producers to wholesalers and those made to other customers such as retailers or the food service industry, for example. The Commission has, however, noted that there are serious indications suggesting that the supply market in the retail trade sector could constitute an autonomous market while leaving the question open4.</w:t>
      </w:r>
    </w:p>
    <w:p>
      <w:r>
        <w:t>2. GEOGRAPHICAL DELIMITATION</w:t>
      </w:r>
    </w:p>
    <w:p>
      <w:r>
        <w:t>18. Both community and national competition authorities consider that the geographical delimitation of supply markets is essentially national while not excluding that for certain categories of products, the market size may, in part, be narrower than the national market due to their fragility5.</w:t>
      </w:r>
    </w:p>
    <w:p>
      <w:r>
        <w:t>19. Regarding the DOM, and as noted by the Competition Authority in its opinion No. 09-D-45 concerning the mechanisms of importation and distribution of consumer goods in the DOM, it is important to highlight the very specific nature of the supply circuits and their effects on the competitive balance of the concerned markets. A significant portion of the supply for food-dominant retail brands comes from local producers and wholesalers, in order to satisfy local tastes and eating habits but also to limit import costs, including maritime freight and customs duties. In the context of operations occurring in the DOM, national decision-making practice has therefore considered that the relevant geographical markets for supply could be limited to each DOM on one hand, and to the Antilles-Guyane area on the other hand6.</w:t>
      </w:r>
    </w:p>
    <w:p>
      <w:r>
        <w:t>20. In this case, the local supply of the Parfait group and the two hypermarkets of the Lancry group represents respectively […] % and […] % of their total supply expenditures. The target does not make any purchases in the Antilles-Guyane area, outside of Martinique, thus the operation will be neutral in this area and the analysis of the horizontal effects of the operation on these markets will be conducted only at the national level and for Martinique.</w:t>
      </w:r>
    </w:p>
    <w:p>
      <w:r>
        <w:t>III. Competitive Analysis</w:t>
      </w:r>
    </w:p>
    <w:p>
      <w:r>
        <w:t>A. ANALYSIS OF HORIZONTAL EFFECTS</w:t>
      </w:r>
    </w:p>
    <w:p>
      <w:r>
        <w:t>1. DOWNSTREAM MARKET OF FOOD-DOMINANT RETAIL DISTRIBUTION</w:t>
      </w:r>
    </w:p>
    <w:p>
      <w:r>
        <w:t>On the hypermarket segment in the catchment area including Fort-de-France, Le Lamentin, Schœlcher, Ducos, and Le Robert</w:t>
      </w:r>
    </w:p>
    <w:p>
      <w:r>
        <w:t>21. In this area, the Parfait group owns, before the operation, two hypermarkets under the Hyper U brand located in Fort de France and Lamentin, which represent [20-30] % of the sales area. The acquisition of the two hypermarkets of the Lancry group located in Lamentin will bring its market share in this area to [40-50] %.</w:t>
      </w:r>
    </w:p>
    <w:p>
      <w:r>
        <w:t>22. Two competing groups will remain in this market: the Bernard Hayot group, with 3 hypermarkets under the Carrefour brand located in Fort-de-France, Ducos, and Schœlcher, representing [30-40] % of the sales area, and the Ho Hio Hen group, with 2 hypermarkets under the Géant brand located in Schœlcher and Le Robert, accounting for [10-20] % of the sales area.</w:t>
      </w:r>
    </w:p>
    <w:p>
      <w:r>
        <w:t>23. The operation results in the disappearance of one competitor out of four and eliminates one brand. It leads to the emergence of a leader that would have four hypermarkets out of the nine in the area, totaling nearly [40-50] % of the sales area. Following the operation, the concentration rate in this market will reach [3,877 IHH]7, with the acquisition of the target stores resulting in a delta of 1,155, amounts that far exceed the thresholds set by the guidelines of the Competition Authority to rule out any likelihood of horizontal competition issues8. The operation therefore raises serious doubts about harming competition through a reduction in the diversity of the offer and a decrease in competitive pressure on prices.</w:t>
      </w:r>
    </w:p>
    <w:p>
      <w:r>
        <w:t>24. However, the notifying party states in its notification that the hypermarket under the Leclerc brand located in Long Pré is facing significant difficulties and is not profitable, a situation confirmed by the judicial recovery of the Lancry group. It estimates that these difficulties are due to the store format and plans to reduce its area from 2,800 m² to an area between 2,000 and 2,450 m². Under these conditions, the Parfait group would only own 3 of the 8 hypermarkets in the area, and its market share would be [40-50] % of the sales area. The effect of the operation thus appears sufficiently mitigated to dispel doubts about harming competition.</w:t>
      </w:r>
    </w:p>
    <w:p>
      <w:r>
        <w:t>25. By letter dated April 10, 2012, the notifying party therefore committed to reducing the area of the Long Pré hypermarket to a sales area of less than or equal to 2,450 m². The Parfait group commits to implementing this commitment within one year. It also commits not to increase the store's area before the expiration of a period of 10 years unless the Authority finds a change in the competitive situation of the market.</w:t>
      </w:r>
    </w:p>
    <w:p>
      <w:r>
        <w:t>On the segment of hypermarkets, supermarkets, and hard discount within a fifteen-minute drive from the target hypermarkets</w:t>
      </w:r>
    </w:p>
    <w:p>
      <w:r>
        <w:t>26. In this area, there are 7 hypermarkets, 14 supermarkets, and 10 hard discount stores. The new entity, which had [10-20] % of the commercial surfaces before the operation, will have an estimated market share of [30-40] %. It will face competition from the Bernard Hayot group ([20-30] %), Ho Hio Hen ([10-20] %), Fabre ([10-20] %), Despointes ([10-20] %), Pamphile ([0-5] %).</w:t>
      </w:r>
    </w:p>
    <w:p>
      <w:r>
        <w:t>27. Therefore, the operation is not likely to harm competition in the segment of hypermarkets, supermarkets, and hard discount in the relevant catchment area.</w:t>
      </w:r>
    </w:p>
    <w:p>
      <w:r>
        <w:t>2. UPSTREAM SUPPLY MARKETS</w:t>
      </w:r>
    </w:p>
    <w:p>
      <w:r>
        <w:t>a) At the national level</w:t>
      </w:r>
    </w:p>
    <w:p>
      <w:r>
        <w:t>7 Hirschmann-Herfindahl Index.</w:t>
      </w:r>
    </w:p>
    <w:p>
      <w:r>
        <w:t>8 Paragraph 345.</w:t>
      </w:r>
    </w:p>
    <w:p>
      <w:r>
        <w:rPr>
          <w:b/>
        </w:rPr>
        <w:t>[Pages 7–7]</w:t>
      </w:r>
    </w:p>
    <w:p>
      <w:r>
        <w:t>28. In the upstream supply market at the national level, the acquirer will be present for the supply of its four food-dominant stores.</w:t>
      </w:r>
    </w:p>
    <w:p>
      <w:r>
        <w:t>29. The strengthening of its purchasing power due to the operation remains limited, as the purchasing share of Leclerc stores is well below [0-5]% of the national supply market estimated at 69 billion euros. In any case, following the operation, the purchasing share of the Parfait group will represent less than [0-5]% of the national supply market.</w:t>
      </w:r>
    </w:p>
    <w:p>
      <w:r>
        <w:t>b) At the local level</w:t>
      </w:r>
    </w:p>
    <w:p>
      <w:r>
        <w:t>30. Regarding the supply market at the national level, the supplies of the parties concern, on the one hand, branded products, some of which are distributed under exclusive distribution licenses in Martinique, and on the other hand, direct purchases by the notifying parties from various national suppliers. In both cases, the strengthening of the purchasing power of the parties related to the acquisition of two stores will be marginal.</w:t>
      </w:r>
    </w:p>
    <w:p>
      <w:r>
        <w:t>31. Concerning the supply market for nationally or locally branded products distributed locally in the Antilles-Guyane area, it can be estimated at just over two billion euros. In 2010, the local purchases of the notifying parties amounted to […] million euros, to which should be added the local supply of the two Leclerc hypermarkets for […] million euros, totaling approximately […] million euros, which represents [0-5]% of the total local supplies in the Antilles-Guyane area.</w:t>
      </w:r>
    </w:p>
    <w:p>
      <w:r>
        <w:t>32. To assess the impact of the operation by major product groups, the notifying party provided data regarding the purchases of the notifying parties and the target hypermarkets from their common suppliers. Given that the share of purchases by the notifying parties will remain moderate (below 25%) for all these suppliers, it should be considered that the operation is not likely to harm competition in the upstream supply markets.</w:t>
      </w:r>
    </w:p>
    <w:p>
      <w:r>
        <w:t>DECIDES</w:t>
      </w:r>
    </w:p>
    <w:p>
      <w:r>
        <w:t>Sole Article: The operation notified under number 11-254 is authorized subject to the commitments described above and attached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