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https://www.autoritedelaconcurrence.fr/fr/decision-de-controle-des-concentrations/relative-la-prise-de-controle-exclusif-des-societes-sodem</w:t>
      </w:r>
    </w:p>
    <w:p>
      <w:r>
        <w:t>Pages translated : 2</w:t>
      </w:r>
    </w:p>
    <w:p/>
    <w:p>
      <w:r>
        <w:rPr>
          <w:b/>
        </w:rPr>
        <w:t>[Pages 1–2]</w:t>
      </w:r>
    </w:p>
    <w:p>
      <w:r>
        <w:t xml:space="preserve">FRENCH REPUBLIC  </w:t>
        <w:br/>
        <w:t xml:space="preserve">Decision No. 11-DCC-175 of November 25, 2011  </w:t>
        <w:br/>
        <w:t xml:space="preserve">regarding the exclusive control acquisition of the companies SODEM, Meubles Chanut, MODAM, SACNEY, SODIV, and SOCLERAM by the company But International  </w:t>
        <w:br/>
        <w:t xml:space="preserve">The Competition Authority,  </w:t>
        <w:br/>
        <w:t xml:space="preserve">Having regard to the complete merger file submitted to the mergers department on October 28, 2011, concerning the acquisition of control over the companies SODEM, Meubles Chanut, Société Montluçonnaise d’Ameublement (“MODAM”), SACNEY, SODIV, and Clermontaise d’Ameublement (“SOCLERAM”) by the company But International;  </w:t>
        <w:br/>
        <w:t xml:space="preserve">Having regard to Book IV of the Commercial Code relating to the freedom of prices and competition, and in particular its Articles L.430-1 to L.430-7;  </w:t>
        <w:br/>
        <w:t xml:space="preserve">Adopts the following decision:  </w:t>
        <w:br/>
        <w:t xml:space="preserve">1. The notified operation consists of the exclusive control acquisition of the companies SODEM, Meubles Chanut, MODAM, SACNEY, SODIV, and SOCLERAM, active in the retail trade of furniture and household appliances under the But brand, by But International, the company at the head of the But brand network, and constitutes a concentration within the meaning of Article L.430-1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11-0204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