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https://www.autoritedelaconcurrence.fr/fr/decision-de-controle-des-concentrations/relative-la-prise-de-controle-exclusif-des-societes-sodiva</w:t>
      </w:r>
    </w:p>
    <w:p>
      <w:r>
        <w:t>Pages translated : 4</w:t>
      </w:r>
    </w:p>
    <w:p/>
    <w:p>
      <w:r>
        <w:rPr>
          <w:b/>
        </w:rPr>
        <w:t>[Pages 1–3]</w:t>
      </w:r>
    </w:p>
    <w:p>
      <w:r>
        <w:t xml:space="preserve">FRENCH REPUBLIC  </w:t>
        <w:br/>
        <w:t xml:space="preserve">Decision No. 13-DCC-180 of December 9, 2013  </w:t>
        <w:br/>
        <w:t xml:space="preserve">regarding the exclusive control of the companies Sodiva and Mement  </w:t>
        <w:br/>
        <w:t xml:space="preserve">by the Citadelle group  </w:t>
        <w:br/>
        <w:t xml:space="preserve">The Competition Authority,  </w:t>
        <w:br/>
        <w:t xml:space="preserve">Having regard to the notification file submitted in full to the merger service on  </w:t>
        <w:br/>
        <w:t xml:space="preserve">November 12, 2013, regarding the exclusive control by the Citadelle group of the companies  </w:t>
        <w:br/>
        <w:t xml:space="preserve">Sodiva SAS and Mement SARL, formalized by a share and equity transfer protocol dated  </w:t>
        <w:br/>
        <w:t xml:space="preserve">October 25, 2013;  </w:t>
        <w:br/>
        <w:t xml:space="preserve">Having regard to Book IV of the Commercial Code relating to price and competition freedom, and  </w:t>
        <w:br/>
        <w:t xml:space="preserve">notably its Articles L. 430-1 to L. 430-7;  </w:t>
        <w:br/>
        <w:t xml:space="preserve">Adopts the following decision:  </w:t>
        <w:br/>
        <w:t xml:space="preserve">I. The companies concerned and the operation  </w:t>
        <w:br/>
        <w:t xml:space="preserve">1. Citadelle is a simplified joint-stock company, a subsidiary of the holding company Groupe Comte-  </w:t>
        <w:br/>
        <w:t xml:space="preserve">Serres. Citadelle holds several subsidiaries located in Martinique, Guyana, and Guadeloupe.  </w:t>
        <w:br/>
        <w:t xml:space="preserve">These companies are active in the distribution and repair of motor vehicles, notably through  </w:t>
        <w:br/>
        <w:t xml:space="preserve">Toyota, Chevrolet, and Suzuki brand dealerships located in Martinique.  </w:t>
        <w:br/>
        <w:t xml:space="preserve">2. The targets are the companies Sodiva and Mement, two subsidiaries of the Reygal company.  </w:t>
        <w:br/>
        <w:t xml:space="preserve">Sodiva is a simplified joint-stock company, active in the distribution and repair of Citroën brand  </w:t>
        <w:br/>
        <w:t xml:space="preserve">motor vehicles in Martinique. Mement is a limited liability company, active in the rental of  </w:t>
        <w:br/>
        <w:t xml:space="preserve">passenger and commercial vehicles in Martinique.  </w:t>
        <w:br/>
        <w:t xml:space="preserve">3. The contemplated operation, formalized by a share and equity transfer protocol dated  </w:t>
        <w:br/>
        <w:t xml:space="preserve">October 25, 2013, consists of the acquisition by the Citadelle group of the entire capital of the  </w:t>
        <w:br/>
        <w:t xml:space="preserve">companies Mement SARL and Citadelle SAS. Insofar as it results in the exclusive control of the  </w:t>
        <w:br/>
        <w:t xml:space="preserve">companies Sodiva SAS and Mement SARL, the notified operation constitutes a concentration  </w:t>
        <w:br/>
        <w:t xml:space="preserve">operation within the meaning of Article L. 430-1 of the Commercial Code.  </w:t>
        <w:br/>
        <w:t xml:space="preserve">4. The companies concerned carry out their activities in an overseas department and  </w:t>
        <w:br/>
        <w:t xml:space="preserve">together achieve a total worldwide turnover of more than 75 million euros (Comte Serres:  </w:t>
        <w:br/>
        <w:t xml:space="preserve">75.6 million euros for the fiscal year ending December 31, 2012; target companies: 30.9 million  </w:t>
        <w:br/>
        <w:t xml:space="preserve">euros for the fiscal year ending December 31, 2012). Each achieves in the retail sector in  </w:t>
        <w:br/>
        <w:t xml:space="preserve">Martinique a turnover exceeding 5 million euros (Citadelle: 48.3 million euros for the fiscal  </w:t>
        <w:br/>
        <w:t xml:space="preserve">year ending December 31, 2012; target companies: 30.9 million euros for the fiscal year  </w:t>
        <w:br/>
        <w:t xml:space="preserve">ending December 31, 2012). Given these turnovers, the operation does not have a community  </w:t>
        <w:br/>
        <w:t xml:space="preserve">dimension. However, the control thresholds related to retail trade mentioned in point III of  </w:t>
        <w:br/>
        <w:t xml:space="preserve">Article L. 430-2 of the Commercial Code are exceeded. The present operation is therefore  </w:t>
        <w:br/>
        <w:t xml:space="preserve">subject to the provisions of Articles L. 430-3 and following of the Commercial Code relating  </w:t>
        <w:br/>
        <w:t xml:space="preserve">to economic concentration.  </w:t>
        <w:br/>
        <w:t xml:space="preserve">II. Definition of relevant markets  </w:t>
        <w:br/>
        <w:t xml:space="preserve">A. DEFINITION OF PRODUCT AND SERVICE MARKETS  </w:t>
        <w:br/>
        <w:t xml:space="preserve">5. In the automotive distribution sector, the decision-making practice1 distinguishes (i) the  </w:t>
        <w:br/>
        <w:t xml:space="preserve">distribution of new passenger vehicles intended for individual customers; (ii) the distribution of  </w:t>
        <w:br/>
        <w:t xml:space="preserve">new passenger vehicles intended for professional customers; (iii) the distribution of commercial  </w:t>
        <w:br/>
        <w:t xml:space="preserve">vehicles (notably light utility vehicles); (iv) the distribution of used motor vehicles; (v) the  </w:t>
        <w:br/>
        <w:t xml:space="preserve">distribution of spare parts and automotive accessories; (vi) the distribution of maintenance and  </w:t>
        <w:br/>
        <w:t xml:space="preserve">repair services for motor vehicles; (vii) the distribution of rental services.  </w:t>
        <w:br/>
        <w:t xml:space="preserve">6. There is no need to challenge these definitions during the examination of the present  </w:t>
        <w:br/>
        <w:t xml:space="preserve">operation.  </w:t>
        <w:br/>
        <w:t xml:space="preserve">7. The companies concerned are simultaneously present in these seven markets.  </w:t>
        <w:br/>
        <w:t xml:space="preserve">B. GEOGRAPHICAL DEFINITION OF MARKETS  </w:t>
        <w:br/>
        <w:t xml:space="preserve">8. Regarding the retail sale of new or used motor vehicles, spare parts and automotive  </w:t>
        <w:br/>
        <w:t xml:space="preserve">accessories, maintenance and repair services for motor vehicles, the decision-making practice2  </w:t>
        <w:br/>
        <w:t xml:space="preserve">adopts a local definition, with the analysis generally conducted at the departmental level.  </w:t>
        <w:br/>
        <w:t xml:space="preserve">9. In this case, there is no need to challenge this geographical definition of the markets. The  </w:t>
        <w:br/>
        <w:t xml:space="preserve">competitive analysis will be conducted in the department of Martinique.  </w:t>
        <w:br/>
        <w:t xml:space="preserve">1 See notably the decisions of the Competition Authority No. 09-DCC-01 of April 8, 2009, and No. 10-DCC-23 of March 1,  </w:t>
        <w:br/>
        <w:t xml:space="preserve">2010.  </w:t>
        <w:br/>
        <w:t xml:space="preserve">2 See the aforementioned decisions.  </w:t>
        <w:br/>
        <w:t>2</w:t>
      </w:r>
    </w:p>
    <w:p>
      <w:r>
        <w:t xml:space="preserve">III. Competitive Analysis  </w:t>
        <w:br/>
        <w:t xml:space="preserve">A. VEHICLE SALES MARKETS  </w:t>
        <w:br/>
        <w:t xml:space="preserve">10. Regarding the calculation of market shares, the decision-making practice3 uses as an  </w:t>
        <w:br/>
        <w:t xml:space="preserve">indicator the ratio between the sales of new and used vehicles made by the parties in the  </w:t>
        <w:br/>
        <w:t xml:space="preserve">departments concerned by the operation and the total registrations of new and used vehicles  </w:t>
        <w:br/>
        <w:t xml:space="preserve">recorded in these same departments by the prefectures.  </w:t>
        <w:br/>
        <w:t xml:space="preserve">11. In the various markets concerned by the operation, the parties to the concentration present  </w:t>
        <w:br/>
        <w:t xml:space="preserve">the following market shares:  </w:t>
        <w:br/>
        <w:t xml:space="preserve">New Group  </w:t>
        <w:br/>
        <w:t xml:space="preserve">Target  </w:t>
        <w:br/>
        <w:t xml:space="preserve">Citadelle entity  </w:t>
        <w:br/>
        <w:t xml:space="preserve">Distribution of new passenger vehicles intended for individual customers  </w:t>
        <w:br/>
        <w:t xml:space="preserve">12.5% 9.6% 22.1%  </w:t>
        <w:br/>
        <w:t xml:space="preserve">Distribution of new passenger vehicles intended for professional customers  </w:t>
        <w:br/>
        <w:t xml:space="preserve">6.5% 10.7% 17.2%  </w:t>
        <w:br/>
        <w:t xml:space="preserve">Distribution of commercial vehicles 8.3% 13.2% 21.5%  </w:t>
        <w:br/>
        <w:t xml:space="preserve">Distribution of used motor vehicles 2.4% 2.6% 5%  </w:t>
        <w:br/>
        <w:t xml:space="preserve">12. The automotive distribution sector in Martinique is characterized by the presence of four  </w:t>
        <w:br/>
        <w:t xml:space="preserve">main operators, the groups GBH, Parfait, Aubéry, and Citadelle. The Citadelle group, which  </w:t>
        <w:br/>
        <w:t xml:space="preserve">currently operates the Toyota, Chevrolet, and Suzuki dealerships in the department, will  </w:t>
        <w:br/>
        <w:t xml:space="preserve">integrate the exclusive distribution of the Citroën brand into its activities following the  </w:t>
        <w:br/>
        <w:t xml:space="preserve">notified operation.  </w:t>
        <w:br/>
        <w:t xml:space="preserve">13. However, the Citadelle group will still face competition from the GBH, Parfait, and Aubéry  </w:t>
        <w:br/>
        <w:t xml:space="preserve">groups, each of which individually holds a market share greater than that of the new entity.  </w:t>
        <w:br/>
        <w:t xml:space="preserve">Indeed, in the market for the distribution of new passenger vehicles intended for individual  </w:t>
        <w:br/>
        <w:t xml:space="preserve">customers, the notifying party estimates that the GBH group will represent 27.7% of the market,  </w:t>
        <w:br/>
        <w:t xml:space="preserve">the Parfait group, 23.3%, and the Aubéry group, 23.7%. In the market for the distribution of  </w:t>
        <w:br/>
        <w:t xml:space="preserve">new passenger vehicles intended for professional customers, the GBH group holds an estimated  </w:t>
        <w:br/>
        <w:t xml:space="preserve">market share of 30%, the Parfait group, 22.8%, and the Aubéry group, 9.7%. Finally, in the  </w:t>
        <w:br/>
        <w:t xml:space="preserve">market for the distribution of new commercial vehicles, the market share of GBH is 30.1%,  </w:t>
        <w:br/>
        <w:t xml:space="preserve">compared to 9.25% for the Parfait group and 9.7% for the Aubéry group.  </w:t>
        <w:br/>
        <w:t xml:space="preserve">3 See the aforementioned decisions.  </w:t>
        <w:br/>
        <w:t>3</w:t>
      </w:r>
    </w:p>
    <w:p>
      <w:r>
        <w:rPr>
          <w:b/>
        </w:rPr>
        <w:t>[Pages 4–4]</w:t>
      </w:r>
    </w:p>
    <w:p>
      <w:r>
        <w:t>B. MARKETS FOR SPARE PARTS AND MAINTENANCE AND REPAIR SERVICES</w:t>
        <w:br/>
        <w:t>14. Regarding the market for the distribution of spare parts and automotive accessories and the market for maintenance and repair services for motor vehicles, the parties were unable to provide their market shares. The operation does not affect the number of authorized repairers by the manufacturers: the company Sodiva was the only one to have, prior to the operation, a contract as an importer, dealer, distributor, and authorized repairer for the Citroën brand in the territory of Martinique, and this contract must be transferred to the acquirer following the operation. Furthermore, there are numerous independent garages and repairers, as well as specialized brands such as Midas and Speedy, capable of offering consumers identical or equivalent quality spare parts and accessories, and maintenance and repair services for motor vehicles similar to those distributed by the parties.</w:t>
        <w:br/>
        <w:t>15. In light of the above elements, the operation is not likely to harm competition in the relevant markets.</w:t>
        <w:br/>
        <w:t>DECIDES</w:t>
        <w:br/>
        <w:t>Sole Article: The operation notified under number 13-195 is authorized.</w:t>
        <w:b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