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https://www.autoritedelaconcurrence.fr/fr/decision-de-controle-des-concentrations/relative-la-prise-de-controle-exclusif-des-societes-sonadia</w:t>
      </w:r>
    </w:p>
    <w:p>
      <w:r>
        <w:t>Pages translated : 5</w:t>
      </w:r>
    </w:p>
    <w:p/>
    <w:p>
      <w:r>
        <w:rPr>
          <w:b/>
        </w:rPr>
        <w:t>[Pages 1–3]</w:t>
      </w:r>
    </w:p>
    <w:p>
      <w:r>
        <w:t xml:space="preserve">FRENCH REPUBLIC  </w:t>
        <w:br/>
        <w:t xml:space="preserve">Decision No. 17-DCC-175 of October 24, 2017  </w:t>
        <w:br/>
        <w:t>regarding the exclusive control of the companies Sonadia and Pré Droué by the company Car Avenue</w:t>
      </w:r>
    </w:p>
    <w:p>
      <w:r>
        <w:t xml:space="preserve">The Competition Authority,  </w:t>
        <w:br/>
        <w:t xml:space="preserve">Having regard to the notification file sent to the merger service on May 24, 2017, declared complete on September 19, 2017, regarding the exclusive control of the companies Sonadia and Pré Droué by the company Car Avenue, formalized by two share transfer agreements dated April 25, 2017;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Car Avenue is a company primarily active in the sector of distribution and repair of motor vehicles through dealers or automotive repairers of brands Peugeot, Citroën, BMW, Mini, Hyundai, Kia, Honda, Porsche, Volkswagen, Audi, Seat, and Skoda, located notably in the departments of Meurthe-et-Moselle (54), Moselle (57), and Bas-Rhin (67).  </w:t>
        <w:br/>
        <w:t xml:space="preserve">2. Pré Doué and Sonadia (hereinafter "the target companies") are companies active in the sector of distribution and repair of BMW and Mini motor vehicles, respectively in the departments of Meurthe-et-Moselle (54) and Vosges (88). They are controlled by the company Beckmann France, a subsidiary of Cloppenburg Automobile SE.  </w:t>
        <w:br/>
        <w:t>3. Under two legally linked share transfer agreements dated April 25, 2017, Car Avenue is to acquire the entirety of the capital of the target companies. As it results in the exclusive control of the target companies by Car Avenue, the notified operation constitutes a concentration within the meaning of Article L. 430-1 of the Commercial Code.</w:t>
      </w:r>
    </w:p>
    <w:p>
      <w:r>
        <w:t>4. The companies concerned together achieve a total worldwide turnover of more than 75 million euros (Car Avenue: 612.5 million euros for the fiscal year ending December 31, 2015; target companies: 68.5 million euros for the fiscal year ending September 30, 2016). The companies concerned achieve in France in the retail sector a turnover exceeding 15 million euros (Car Avenue: 599.6 million euros for the fiscal year ending December 31, 2015; target companies: 68.5 million euros for the fiscal year ending September 30, 2016). Given these figures,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AND SERVICE MARKETS  </w:t>
        <w:br/>
        <w:t xml:space="preserve">5. In the automotive distribution sector, decisional practice1 distinguishes (i) the distribution of new passenger vehicles intended for a clientele of individuals; (ii) the distribution of new passenger vehicles intended for a professional clientele; (iii) the distribution of new commercial vehicles; (iv) the distribution of used vehicles; (v) the distribution of spare parts and automotive accessories; (vi) the distribution of maintenance and repair services for motor vehicles; (vii) the distribution of rental services.  </w:t>
        <w:br/>
        <w:t xml:space="preserve">6. There is no need to challenge these delimitations during the examination of the present operation.  </w:t>
        <w:br/>
        <w:t>7. The companies concerned are simultaneously present in all of these markets except for the market for the distribution of rental services (vii).</w:t>
      </w:r>
    </w:p>
    <w:p>
      <w:r>
        <w:t xml:space="preserve">B. GEOGRAPHICAL DELIMITATION OF MARKETS  </w:t>
        <w:br/>
        <w:t xml:space="preserve">8. Regarding the retail sale of motor vehicles, new or used, spare parts and automotive accessories, maintenance and repair services for motor vehicles, and rental services, decisional practice adopts a local definition, with the analysis generally conducted at the departmental level2.  </w:t>
        <w:br/>
        <w:t xml:space="preserve">9. Furthermore, in operations where the acquirer is active in the neighboring departments of those in which the target is present, the Authority also conducts a competitive analysis on a market extended to all of these departments.  </w:t>
        <w:br/>
        <w:t xml:space="preserve">1 See in particular decisions No. 09-DCC-01 of the Competition Authority of April 8, 2009, regarding the acquisition of Pellier Metz S.A.S by the Bailly S.A.S group, and No. 10-DCC-23 of March 1, 2010, regarding the exclusive control of Evry Corbeil Automobiles and Vétille Automobiles by Priod Holding (Priod group).  </w:t>
        <w:br/>
        <w:t>2 Ibid.</w:t>
      </w:r>
    </w:p>
    <w:p>
      <w:r>
        <w:t>10. In the present case, the parties are simultaneously active in the department of Meurthe-et-Moselle (54). The analysis will be extended to the neighboring departments of Vosges (88) where the targets are present, as well as Moselle (57) and Bas-Rhin (67) where the acquirer is also present.</w:t>
      </w:r>
    </w:p>
    <w:p>
      <w:r>
        <w:t xml:space="preserve">III. Competitive Analysis  </w:t>
        <w:br/>
        <w:t xml:space="preserve">A. MARKETS FOR AUTOMOBILE VEHICLE DISTRIBUTION  </w:t>
        <w:br/>
        <w:t xml:space="preserve">11. Regarding the calculation of market shares, decisional practice3 uses as an indicator the ratio between the sales of new vehicles made by the parties in the departments concerned by the operation and the total registrations of new vehicles recorded in these same departments by the prefectures.  </w:t>
        <w:br/>
        <w:t xml:space="preserve">12. In the department of Meurthe-et-Moselle (54) where the operation involves an overlap of activities, across the various markets concerned by the operation, the parties hold the following cumulative market shares:  </w:t>
        <w:br/>
        <w:t xml:space="preserve">Department of Meurthe-et-Moselle (54) Cumulative market shares  </w:t>
        <w:br/>
        <w:t xml:space="preserve">Distribution of new passenger vehicles intended for a clientele of individuals 30.67%  </w:t>
        <w:br/>
        <w:t xml:space="preserve">Distribution of new passenger vehicles intended for a professional clientele 19.74%  </w:t>
        <w:br/>
        <w:t xml:space="preserve">Distribution of new commercial vehicles 17.92%  </w:t>
        <w:br/>
        <w:t>Distribution of used vehicles 4.75%</w:t>
      </w:r>
    </w:p>
    <w:p>
      <w:r>
        <w:t xml:space="preserve">13. Following the operation, in the department of Meurthe-et-Moselle, the cumulative market shares will exceed 30% in the market for the distribution of new passenger vehicles intended for a clientele of individuals. However, the parties will still face competition from other dealers of competing brands such as Renault, Citroën, Volkswagen, Mercedes, or Ford. In the other product markets, the cumulative market shares will remain limited.  </w:t>
        <w:br/>
        <w:t xml:space="preserve">14. In a geographical area comprising the departments of Vosges (88), Moselle (57), and Bas-Rhin (67) where the parties operate concessions, for each of the markets concerned by the operation, the parties hold the following cumulative market shares:  </w:t>
        <w:br/>
        <w:t>3 Ibid.</w:t>
      </w:r>
    </w:p>
    <w:p>
      <w:r>
        <w:rPr>
          <w:b/>
        </w:rPr>
        <w:t>[Pages 4–5]</w:t>
      </w:r>
    </w:p>
    <w:p>
      <w:r>
        <w:t>Departments of Meurthe-et-Moselle (54), Vosges (88), Moselle (57), and Bas-Rhin (67)</w:t>
      </w:r>
    </w:p>
    <w:p>
      <w:r>
        <w:t>Distribution of new passenger vehicles intended for a clientele of individuals 21.49%</w:t>
        <w:br/>
        <w:t>Distribution of new vehicles intended for a professional clientele 10.31%</w:t>
        <w:br/>
        <w:t>Distribution of new commercial vehicles 12.77%</w:t>
        <w:br/>
        <w:t>Distribution of used vehicles 2.62%</w:t>
      </w:r>
    </w:p>
    <w:p>
      <w:r>
        <w:t>15. The market shares of the entity resulting from the concentration will therefore remain limited in a market expanded to the departments of Meurthe-et-Moselle, Vosges, Moselle, and Bas-Rhin.</w:t>
      </w:r>
    </w:p>
    <w:p>
      <w:r>
        <w:t>B. MARKETS FOR SPARE PARTS AND MAINTENANCE AND REPAIR SERVICES</w:t>
      </w:r>
    </w:p>
    <w:p>
      <w:r>
        <w:t>16. In the retail market for spare parts and automotive accessories and in the market for maintenance and repair services for motor vehicles, the parties have not been able to produce their market shares, both in the department of Meurthe-et-Moselle and in the expanded geographical area including the departments of Vosges, Moselle, and Bas-Rhin.</w:t>
      </w:r>
    </w:p>
    <w:p>
      <w:r>
        <w:t>17. Nevertheless, following the operation, Car Avenue will be the sole authorized dealer and repairer of BMW-Mini in a substantial part of the Grand-Est region, corresponding to the former Lorraine region. In opinion No. 12-A-21 of October 8, 2012, regarding the competitive functioning of the vehicle repair and maintenance sectors and the manufacturing and distribution of spare parts, the Competition Authority distinguished three categories of spare parts: captive parts, for which manufacturers have a distribution monopoly within their network, particularly visible parts protected by intellectual or industrial property rights, for example under designs and models, or parts covered by a patent, whether produced by the manufacturer or by the manufacturer's subcontractors; semi-captive parts, for which the original equipment manufacturers that produce them have negotiated the possibility of distributing them as well; and competing parts. In this case, in the considered sector, Car Avenue will therefore be the only physical distributor of captive BMW and Mini parts.</w:t>
      </w:r>
    </w:p>
    <w:p>
      <w:r>
        <w:t>18. However, this situation is not likely to worsen the competitive situation as it existed before the operation in the market for spare parts and maintenance and repair services. First of all, regarding semi-captive and competing parts, Car Avenue will still face competition from numerous independent garages and repairers, as well as specialized brands such as Norauto, Midas, Speedy, Point S, and Euromaster, which may offer consumers identical or equivalent quality spare parts and similar maintenance and repair services for motor vehicles as those distributed by the various entities. Furthermore, concerning the market structure prior to the operation, it should be noted that the target companies were the only authorized BMW-Mini dealers and repairers in their respective departments and thus constituted the only physical distributors of captive BMW-Mini parts in each of these departments. Additionally, it should be noted that the position presented only imperfectly reflects the market power that Car Avenue will benefit from following the operation, given the proximity of Belgian, Luxembourgish, and German distributors. Moreover, it will also face competition from other authorized BMW and Mini dealers and repairers in the expanded geographical area, who source spare parts directly from the manufacturer at the national level, as well as from online distributors, both national and cross-border, capable of supplying independent garages and repairers with captive and non-captive spare parts. Finally, the market test conducted with independent repairers indicates that a large majority of these competitors believe that the operation will have no effects on the market in question nor impact their activity.</w:t>
      </w:r>
    </w:p>
    <w:p>
      <w:r>
        <w:t>19. In light of the above elements, the operation is not likely to harm competition in the relevant markets.</w:t>
      </w:r>
    </w:p>
    <w:p>
      <w:r>
        <w:t>DECIDES</w:t>
      </w:r>
    </w:p>
    <w:p>
      <w:r>
        <w:t>Sole Article: The operation notified under number 17-108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