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https://www.autoritedelaconcurrence.fr/fr/decision-de-controle-des-concentrations/relative-la-prise-de-controle-exclusif-des-societes-sorevi</w:t>
      </w:r>
    </w:p>
    <w:p>
      <w:r>
        <w:t>Pages translated : 2</w:t>
      </w:r>
    </w:p>
    <w:p/>
    <w:p>
      <w:r>
        <w:rPr>
          <w:b/>
        </w:rPr>
        <w:t>[Pages 1–2]</w:t>
      </w:r>
    </w:p>
    <w:p>
      <w:r>
        <w:t xml:space="preserve">FRENCH REPUBLIC  </w:t>
        <w:br/>
        <w:t xml:space="preserve">Decision No. 12-DEX-02 of March 26, 2012  </w:t>
        <w:br/>
        <w:t xml:space="preserve">regarding the exclusive control acquisition of the companies Sorevi and  </w:t>
        <w:br/>
        <w:t>Kriter Brut de Brut by the company Castel Frères</w:t>
      </w:r>
    </w:p>
    <w:p>
      <w:r>
        <w:t>The Competition Authority,</w:t>
      </w:r>
    </w:p>
    <w:p>
      <w:r>
        <w:t>Having regard to the notification file sent to the mergers department on October 7, 2011, and declared complete on January 9, 2012, concerning the exclusive control acquisition of the company Kriter Brut de Brut (hereinafter "KBB") by the company Castel Frères, formalized by a transfer protocol dated April 18 and 20, 2011;</w:t>
      </w:r>
    </w:p>
    <w:p>
      <w:r>
        <w:t>Having regard to Book IV of the Commercial Code relating to the freedom of prices and competition, and in particular its Articles L. 430-1 to L. 430-7;</w:t>
      </w:r>
    </w:p>
    <w:p>
      <w:r>
        <w:t>Having regard to the request for suspension of the examination deadlines of the operation for 15 working days, in accordance with Article L. 430-5 II, granted by letter of February 9, 2012;</w:t>
      </w:r>
    </w:p>
    <w:p>
      <w:r>
        <w:t>Having regard to the supplementary elements transmitted by the notifying party during the investigation;</w:t>
      </w:r>
    </w:p>
    <w:p>
      <w:r>
        <w:t>Having regard to the commitments presented on March 1, 2012, by the notifying party;</w:t>
      </w:r>
    </w:p>
    <w:p>
      <w:r>
        <w:t>Adopts the following decision:</w:t>
      </w:r>
    </w:p>
    <w:p>
      <w:r>
        <w:t>1. The company Castel Frères, through its various subsidiaries, engages in the bottling and trading of table wines, regional wines, and wines from various French appellations as well as foreign wines. It belongs to the Castel group, which is also active in the field of beer and soft drinks on the African continent and holds a significant retail wine distribution activity in France, Belgium, and the United Kingdom (Nicolas store chains).</w:t>
      </w:r>
    </w:p>
    <w:p>
      <w:r>
        <w:t>2. The companies KBB and Sorevi (hereinafter collectively referred to as "the target companies") belonged to the Patriarche group. These companies are active in the production and marketing of still and sparkling wines.</w:t>
      </w:r>
    </w:p>
    <w:p>
      <w:r>
        <w:t>3. By virtue of a transfer protocol dated April 18 and 20, 2011, the company Castel Frères acquired all the shares of the companies Sorevi and KBB.</w:t>
      </w:r>
    </w:p>
    <w:p>
      <w:r>
        <w:t>4. Insofar as it results in the exclusive control of the companies KBB and Sorevi by the Castel group, the notified operation constitutes a concentration operation within the meaning of Article L. 430-1 of the Commercial Code. The concerned companies together achieve a total worldwide turnover of more than 150 million euros (Castel group: […] billion euros for the fiscal year ending December 31, 2010; target companies: […] million euros for the fiscal year ending December 31, 2010). Each achieves a turnover in France exceeding 50 million euros (Castel group: […] million euros for the fiscal year ending December 31, 2010; target companies: […] million euros for the fiscal year ending December 31, 2010).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5. The examination provided for in I of Article L. 430-5 of the Commercial Code has raised serious doubts regarding the impact on competition. The operation indeed leads to a significant overlap of the parties' activities in the table wine sector and eliminates one of the main alternatives to the Castel group in this market. The commitments submitted by the notifying party on March 1, 2012, do not alleviate the serious doubts regarding the anti-competitive effects of the operation.</w:t>
      </w:r>
    </w:p>
    <w:p>
      <w:r>
        <w:t>6. It is therefore necessary to initiate an in-depth examination, in accordance with III of Article L. 430-5 of the Commercial Code.</w:t>
      </w:r>
    </w:p>
    <w:p>
      <w:r>
        <w:t xml:space="preserve">DECIDES  </w:t>
        <w:br/>
        <w:t>Sole Article: The operation notified under number 11-177 is subject to an in-depth examination under the conditions provided for in Article L. 430-6 of the Commercial Code.</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