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https://www.autoritedelaconcurrence.fr/fr/decision-de-controle-des-concentrations/relative-la-prise-de-controle-exclusif-des-societes-sud-et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11-DCC-88 of June 10, 2011  </w:t>
        <w:br/>
        <w:t xml:space="preserve">concerning the exclusive control acquisition of the companies Sud and Sotresco by  </w:t>
        <w:br/>
        <w:t xml:space="preserve">the company Amidis et Compagnie  </w:t>
        <w:br/>
        <w:t xml:space="preserve">The Competition Authority,  </w:t>
        <w:br/>
        <w:t xml:space="preserve">Having regard to the complete notification file submitted to the mergers department on May 19, 2011,  </w:t>
        <w:br/>
        <w:t xml:space="preserve">concerning the exclusive control acquisition of the companies Sud and Sotresco by the company Amidis et  </w:t>
        <w:br/>
        <w:t xml:space="preserve">Compagnie, formalized by an agreement dated May 3,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companies Sud and Sotresco  </w:t>
        <w:br/>
        <w:t xml:space="preserve">operating two supermarkets under the Carrefour Market brand in Barcelonette (04) and Hyères  </w:t>
        <w:br/>
        <w:t xml:space="preserve">(83), by the company Amidis et Compagnie, a subsidiary of the Carrefour group.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trade  </w:t>
        <w:br/>
        <w:t xml:space="preserve">mentioned in point II of Article L. 430-2 of the Commercial Code are exceeded. This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11-0093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