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https://www.autoritedelaconcurrence.fr/fr/decision-de-controle-des-concentrations/relative-la-prise-de-controle-exclusif-des-societes-suede</w:t>
      </w:r>
    </w:p>
    <w:p>
      <w:r>
        <w:t>Pages translated : 2</w:t>
      </w:r>
    </w:p>
    <w:p/>
    <w:p>
      <w:r>
        <w:rPr>
          <w:b/>
        </w:rPr>
        <w:t>[Pages 1–2]</w:t>
      </w:r>
    </w:p>
    <w:p>
      <w:r>
        <w:t xml:space="preserve">FRENCH REPUBLIC  </w:t>
        <w:br/>
        <w:t xml:space="preserve">Decision No. 19-DCC-185 of October 9, 2019  </w:t>
        <w:br/>
        <w:t xml:space="preserve">regarding the exclusive control acquisition of the companies Suède Provence Automobiles, Suède Méditerranée Automobiles, and Viraje by the Maurin group  </w:t>
        <w:br/>
        <w:t xml:space="preserve">The Competition Authority,  </w:t>
        <w:br/>
        <w:t xml:space="preserve">Having regard to the complete notification file sent to the mergers department on September 10, 2019, concerning the acquisition of the companies Suède Provence Automobiles, Suède Méditerranée Automobiles, and Viraje by the Maurin group, materialized by a share transfer agreement dated June 18,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Maurin group of the companies Suède Provence Automobiles, Suède Méditerranée Automobiles, and Viraje, which engage in automobile dealership activities under the brands Volvo and Honda in the departments of Bouches-du-Rhône (13) and Vaucluse (84). This constitutes a concentration operation within the meaning of Article L. 430-1 of the Commercial Code. Given the turnover generated by the companies concerned, the operation does not fall under the jurisdiction of the European Union. However, the retail trade control thresholds mentioned in point II of Article L. 430-2 of the Commercial Code are exceeded. Therefore, this operation is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19-224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