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https://www.autoritedelaconcurrence.fr/fr/decision-de-controle-des-concentrations/relative-la-prise-de-controle-exclusif-des-societes-sunbank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19-DCC-186 of October 16, 2019  </w:t>
        <w:br/>
        <w:t xml:space="preserve">regarding the exclusive control acquisition of the companies Sunbank Family of  </w:t>
        <w:br/>
        <w:t xml:space="preserve">Companies, Souriau USA, and Souriau SAS by the company  </w:t>
        <w:br/>
        <w:t xml:space="preserve">Eaton Corporation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20, 2019, concerning the exclusive control acquisition of the companies Sunbank Family of  </w:t>
        <w:br/>
        <w:t xml:space="preserve">Companies, Souriau USA, and Souriau SAS by the company Eaton Corporation, formalized by a  </w:t>
        <w:br/>
        <w:t xml:space="preserve">unilateral purchase promise dated July 21,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of the companies Sunbank Family of  </w:t>
        <w:br/>
        <w:t xml:space="preserve">Companies, Souriau USA, and Souriau SAS by the company Eaton Corporation. It constitutes a  </w:t>
        <w:br/>
        <w:t xml:space="preserve">concentration within the meaning of Article L. 430-1 of the Commercial Code. Given the turnover  </w:t>
        <w:br/>
        <w:t xml:space="preserve">achieved by the concerned companies,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The markets primarily concerned by the operation are those of electronic wiring systems, which are  </w:t>
        <w:br/>
        <w:t xml:space="preserve">consistently defined by the decision-making practice of the competition authorities.  </w:t>
        <w:br/>
        <w:t xml:space="preserve">3. Regardless of the segmentation considered, the combined market shares of the parties are  </w:t>
        <w:br/>
        <w:t xml:space="preserve">below 25%.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 </w:t>
        <w:br/>
        <w:t>likely to harm competition.</w:t>
      </w:r>
    </w:p>
    <w:p>
      <w:r>
        <w:t xml:space="preserve">DECIDES  </w:t>
        <w:br/>
        <w:t xml:space="preserve">Sole Article: The operation notified under number 19-221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