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https://www.autoritedelaconcurrence.fr/fr/decision-de-controle-des-concentrations/relative-la-prise-de-controle-exclusif-des-societes-tenedor</w:t>
      </w:r>
    </w:p>
    <w:p>
      <w:r>
        <w:t>Pages translated : 2</w:t>
      </w:r>
    </w:p>
    <w:p/>
    <w:p>
      <w:r>
        <w:rPr>
          <w:b/>
        </w:rPr>
        <w:t>[Pages 1–2]</w:t>
      </w:r>
    </w:p>
    <w:p>
      <w:r>
        <w:t xml:space="preserve">FRENCH REPUBLIC  </w:t>
        <w:br/>
        <w:t xml:space="preserve">Decision No. 20-DCC-37 of March 3, 2020  </w:t>
        <w:br/>
        <w:t xml:space="preserve">regarding the exclusive control acquisition of the companies Tenedor Reims and Etoile 51 by the company Bernard Participations  </w:t>
        <w:br/>
        <w:t xml:space="preserve">The Competition Authority,  </w:t>
        <w:br/>
        <w:t xml:space="preserve">Having regard to the complete notification file sent to the mergers department on February 3, 2020, concerning the exclusive control acquisition of the companies Tenedor Reims and Etoile 51 by the company Bernard Participations, formalized by a memorandum of understanding dated March 21, 2017, and the resolution of the board of directors of the company Bernard Participations dated October 23,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Bernard Participations of the companies Tenedor Reims and Etoile 51, which are active in the sector of distribution of motor vehicles and industrial vehicles under the Mercedes-Benz brand in the departments of Aisne (02) and Marne (51).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20-006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