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https://www.autoritedelaconcurrence.fr/fr/decision-de-controle-des-concentrations/relative-la-prise-de-controle-exclusif-des-societes-terrena</w:t>
      </w:r>
    </w:p>
    <w:p>
      <w:r>
        <w:t>Pages translated : 7</w:t>
      </w:r>
    </w:p>
    <w:p/>
    <w:p>
      <w:r>
        <w:rPr>
          <w:b/>
        </w:rPr>
        <w:t>[Pages 1–3]</w:t>
      </w:r>
    </w:p>
    <w:p>
      <w:r>
        <w:t xml:space="preserve">FRENCH REPUBLIC  </w:t>
        <w:br/>
        <w:t xml:space="preserve">Decision No. 17-DCC-139 of August 25, 2017  </w:t>
        <w:br/>
        <w:t>regarding the exclusive control of the companies Terrena Grand Public and Agralys Distribution by InVivo Retail</w:t>
      </w:r>
    </w:p>
    <w:p>
      <w:r>
        <w:t xml:space="preserve">The Competition Authority,  </w:t>
        <w:br/>
        <w:t xml:space="preserve">Having regard to the notification file submitted in full to the merger service on August 1, 2017, regarding the exclusive control of the companies Terrena Grand Public and Agralys Distribution by InVivo Retail, formalized by memoranda of understanding dated July 28,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InVivo Retail is a simplified joint-stock company wholly owned by InVivo Group, which is itself wholly owned by Union InVivo. Union InVivo is an association of agricultural cooperatives with variable capital, owned by 220 cooperative members. The InVivo group is active in several agricultural sectors (seeds, animal nutrition and health, grain storage and marketing), as well as in specialized retail to the general public through the Gamm Vert and Delbard franchises.  </w:t>
        <w:br/>
        <w:t xml:space="preserve">2. Terrena Grand Public (hereinafter, "TGP") is a simplified joint-stock company wholly owned by C2 Développement, a 100% subsidiary of the agricultural cooperative Terrena. TGP operates 44 businesses under the Gamm Vert franchise in the departments of Ille-et-Vilaine (35), Indre-et-Loire (37), Loire-Atlantique (44), Maine-et-Loire (49), Deux-Sèvres (79), and Vienne (86)1. Furthermore, TGP holds all the shares of the company Edimag, which engages in logistics platform and purchasing center activities.  </w:t>
        <w:br/>
        <w:t>1 [Confidential].</w:t>
      </w:r>
    </w:p>
    <w:p>
      <w:r>
        <w:t xml:space="preserve">3. Agralys Distribution (hereinafter, "AD") is a simplified joint-stock company owned by Axéréal Participations, which is ultimately controlled by the agricultural cooperative Axéréal. AD operates 46 businesses under the Gamm Vert franchise in the departments of Cher (18), Eure-et-Loir (28), Indre (36), Loir-et-Cher (41), Loiret (45), Nièvre (58), and Essonne (91)2.  </w:t>
        <w:br/>
        <w:t xml:space="preserve">4. The notified transaction, formalized by a firm offer letter and two memoranda of understanding dated July 28, 2017, involves the acquisition by InVivo of all shares of the companies TGP, as well as its subsidiary Edimag, and AD, and the acquisition of 58 real estate properties related to the activity of the stores operated by the target companies.  </w:t>
        <w:br/>
        <w:t xml:space="preserve">5. These transactions do not involve a reciprocal legal link. However, in accordance with point 64 of the guidelines on merger control of the Competition Authority and the consolidated communication of the European Commission, "transactions that constitute a whole based on the economic objectives pursued by the parties must also be assessed within the framework of a single procedure. In these cases, the modification of the market structure is induced by all these transactions taken together"3. The European Commission adds that "the interdependence of multiple transactions may appear in light of the statements made by the parties themselves or the simultaneous conclusion of the agreements in question"4. In this case, the two concentrations are part of a global economic project, as evidenced by the minutes of the board of directors of the InVivo group dated December 14, 2016, which presents the transactions as part of the same project, titled "Solstice." Furthermore, these transactions were subject to a single firm offer letter dated April 4, 2017. It is stated that "this Firm Offer of April 4, 2017 is indivisible in the sense that it can only be accepted by all the Sellers and for the entirety of the scope [...] and can only be realized by the simultaneous signing of all the draft agreements contained in the annex to this Firm Offer." The memoranda of understanding concerning each of the transactions were signed on the same day, July 28, 2017. Finally, the two transactions were the subject of a single press release on May 5, 2017. Therefore, these two concentrations implemented by a single acquirer pursue the same economic objective, relate to the same sector of activity, and were the subject of a single and indivisible firm offer. They thus constitute a single concentration.  </w:t>
        <w:br/>
        <w:t xml:space="preserve">6. Insofar as it results in the exclusive control of TGP and AD by the InVivo group, the notified transaction constitutes a concentration operation within the meaning of Article L. 430-1 of the Commercial Code.  </w:t>
        <w:br/>
        <w:t>7. The concerned companies together achieve a total worldwide turnover excluding taxes of more than 150 million euros (InVivo group: 6.4 billion euros for the fiscal year ending June 30, 2016; target companies: […] euros for their last closed fiscal year5). Each of these companies has achieved a turnover in France exceeding 50 million euros (InVivo group: […] euros for the fiscal year ending June 30, 2016; target companies: […] euros for their last closed fiscal year6). Given these turnover figures, the transaction does not fall under the jurisdiction of the European Union. On the other hand, the control thresholds mentioned in I of Article L. 430-2 of the Commercial Code are crossed. This transaction is therefore subject to the provisions of Articles L. 430-3 and following of the Commercial Code relating to economic concentration.</w:t>
      </w:r>
    </w:p>
    <w:p>
      <w:r>
        <w:t xml:space="preserve">II. Definition of relevant markets  </w:t>
        <w:br/>
        <w:t xml:space="preserve">A. MARKETS FOR THE PRODUCTION AND MARKETING  </w:t>
        <w:br/>
        <w:t xml:space="preserve">1. THE PRODUCTION AND MARKETING OF PET FOOD  </w:t>
        <w:br/>
        <w:t xml:space="preserve">8. The decision-making practice of the European Commission has distinguished the market for pet food from the markets for livestock feed7. Additional segmentations have been retained according to the animal species and the type of food (dry food, wet food, treats)8.  </w:t>
        <w:br/>
        <w:t xml:space="preserve">9. The European Commission considers that these markets are of national dimension9.  </w:t>
        <w:br/>
        <w:t>10. There is no need to challenge these definitions during the examination of the present transaction.</w:t>
      </w:r>
    </w:p>
    <w:p>
      <w:r>
        <w:t xml:space="preserve">2. THE PRODUCTION AND MARKETING OF SEEDS FOR THE GENERAL PUBLIC  </w:t>
        <w:br/>
        <w:t xml:space="preserve">11. Competition authorities have noted that different types of seeds are not substitutable for one another10. The following types of seeds have thus been distinguished: durum wheat, soft wheat, oats, triticale, corn, sorghum, rapeseed, soybeans, sunflowers, forage, intercrop seeds, lawns, peas and fava beans, winter barley and spring barley.  </w:t>
        <w:br/>
        <w:t xml:space="preserve">12. The seed sector can also be segmented at each stage of its value chain:  </w:t>
        <w:br/>
        <w:t xml:space="preserve">• The breeding of "basic seed": this is essentially a research and development and varietal selection activity carried out upstream aimed at obtaining new varieties of seeds.  </w:t>
        <w:br/>
        <w:t xml:space="preserve">• The production of "commercial seed": the basic seed is then multiplied to obtain commercial seed, the seeds thus obtained are certified and packaged.  </w:t>
        <w:br/>
        <w:t xml:space="preserve">7 See the decision of the European Commission M.2956 CVC/Pai Europé/Provimi of October 28, 2002 and the decisions of the Competition Authority No. 15-DCC-34 of March 23, 2015 regarding the exclusive control of SICA SA Vegam and a gardening business by the agricultural cooperative Agrial and No. 16-DCC-147 of September 21, 2016 regarding the exclusive control of the company Agri-Négoce by Axéréal Participations.  </w:t>
        <w:br/>
        <w:t xml:space="preserve">8 See the decisions of the European Commission M.554 Dalgety PLC/ The Quaker Oats Company of March 13, 1995, M.1127 Nestle/Dalgety of April 2, 1998, M.2337 Nestlé/Ralston Purina of July 20, 2001, M.2544 Masterfoods/Royal Canin of February 15, 2002 and the aforementioned decision M.2956.  </w:t>
        <w:br/>
        <w:t xml:space="preserve">9 See the aforementioned decisions M.2544 and M.2956.  </w:t>
        <w:br/>
        <w:t>10 See the decisions of the European Commission M.556 Zeneca/Vanderhave of April 9, 1996, M.1497. Novartis/Maïsadour of June 30, 1999, M.1512. Dupont/Pioneer Hi-Bred/International of June 21, 1999, and M.3506 Fox Paine/Advanta of August 20, 2004, and the decisions of the Competition Authority No. 09-DCC-37 of August 13, 2009 regarding the creation of a joint venture by the companies Euralis Semences and Sud Céréales and No. 09-DCC-38 of September 4, 2009 regarding the merger of the cooperatives Limagrain and Domagri.</w:t>
      </w:r>
    </w:p>
    <w:p>
      <w:r>
        <w:rPr>
          <w:b/>
        </w:rPr>
        <w:t>[Pages 4–6]</w:t>
      </w:r>
    </w:p>
    <w:p>
      <w:r>
        <w:t>• The commercialization of commercial seeds: commercial seeds intended for agriculture are sold to distributors, generally agricultural cooperatives or agricultural traders. Commercial seeds intended for individuals (primarily lawns) are marketed through dedicated or general distribution networks.</w:t>
      </w:r>
    </w:p>
    <w:p>
      <w:r>
        <w:t>13. National decision-making practice has considered a global market for the breeding, production, and commercialization of seeds. A segmentation according to the stages of the process has also been considered, identifying the market for seed breeding on one hand and the market for seed production and commercialization on the other.</w:t>
      </w:r>
    </w:p>
    <w:p>
      <w:r>
        <w:t>14. The Authority considers, in accordance with decision-making practice, that these markets are at least national in scope.</w:t>
      </w:r>
    </w:p>
    <w:p>
      <w:r>
        <w:t>3. THE PRODUCTION AND COMMERCIALIZATION OF PLANT PROTECTION PRODUCTS FOR THE GENERAL PUBLIC</w:t>
      </w:r>
    </w:p>
    <w:p>
      <w:r>
        <w:t>15. The European Commission has considered a market for plant protection products intended for individuals. An additional segmentation has been considered between herbicides, insecticides, and fungicides.</w:t>
      </w:r>
    </w:p>
    <w:p>
      <w:r>
        <w:t>16. The European Commission has considered that this market is national in scope. There is no reason to challenge these delimitations during the examination of the present operation.</w:t>
      </w:r>
    </w:p>
    <w:p>
      <w:r>
        <w:t>B. THE MARKETS FOR THE DISTRIBUTION OF GARDENING, DIY, AND OUTDOOR IMPROVEMENT PRODUCTS TO THE GENERAL PUBLIC</w:t>
      </w:r>
    </w:p>
    <w:p>
      <w:r>
        <w:t>17. Regarding the distribution of gardening, DIY, outdoor improvement, and pet products to the general public, national decision-making practice identifies a market composed of agricultural self-service stores ("LISA"), garden centers, large DIY stores ("GSB") with "gardening" sections, and large food stores ("GSA") also with "gardening" sections.</w:t>
      </w:r>
    </w:p>
    <w:p>
      <w:r>
        <w:t>18. National decision-making practice retains geographical markets defined by a catchment area with a radius of twenty minutes of driving from the relevant points of sale.</w:t>
      </w:r>
    </w:p>
    <w:p>
      <w:r>
        <w:t>19. There is no reason to challenge these delimitations during the examination of the present operation.</w:t>
      </w:r>
    </w:p>
    <w:p>
      <w:r>
        <w:t>III. Competitive Analysis</w:t>
      </w:r>
    </w:p>
    <w:p>
      <w:r>
        <w:t>A. ANALYSIS OF HORIZONTAL EFFECTS</w:t>
      </w:r>
    </w:p>
    <w:p>
      <w:r>
        <w:t>20. The activities of the parties overlap in the markets for the distribution of gardening, DIY, outdoor improvement, and pet products to the general public. However, the operation is not likely to produce horizontal effects for the following reasons.</w:t>
      </w:r>
    </w:p>
    <w:p>
      <w:r>
        <w:t>21. InVivo heads the Gamm Vert network and does not own any businesses outright. TGP and AD operate 90 businesses under the Gamm Vert franchise.</w:t>
      </w:r>
    </w:p>
    <w:p>
      <w:r>
        <w:t>22. The Authority and the Council of State have recalled that the market power of a distributor must be assessed taking into account both the stores owned outright and those operated in a network, regardless of their legal status, as long as their commercial policy is not sufficiently autonomous from the network head.</w:t>
      </w:r>
    </w:p>
    <w:p>
      <w:r>
        <w:t>23. The Authority has notably considered that the following criteria allow inferring the lack of autonomy of network members: (i) compliance with the franchisor's advertising policy and participation in promotional campaigns, (ii) exclusive supply from suppliers referenced by the franchisor for part of the purchases, (iii) prohibition on modifying a point of sale without the franchisor's authorization, (iv) the possibility for the franchisor to set a maximum price, (v) the obligation to reference part of the franchisor's product lines, and (vi) the existence of preemption, substitution, and preference clauses in favor of the franchisor in the event of the sale of a franchised store.</w:t>
      </w:r>
    </w:p>
    <w:p>
      <w:r>
        <w:t>24. Regarding the stores under the Gamm Vert and Gamm Vert Village brands, the franchise contracts are [confidential].</w:t>
      </w:r>
    </w:p>
    <w:p>
      <w:r>
        <w:t>25. Given the above, the 90 franchised Gamm Vert points of sale involved in the operation do not have sufficient commercial autonomy prior to the operation for it to significantly alter the competitive structure in the catchment areas of the target stores.</w:t>
      </w:r>
    </w:p>
    <w:p>
      <w:r>
        <w:t>26. Therefore, the notified operation is not likely to harm competition through horizontal effects.</w:t>
      </w:r>
    </w:p>
    <w:p>
      <w:r>
        <w:t>B. ANALYSIS OF VERTICAL EFFECTS</w:t>
      </w:r>
    </w:p>
    <w:p>
      <w:r>
        <w:t>27. A vertical concentration can restrict competition by making access to the markets where the new entity will operate more difficult, potentially driving out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28. However, decision-making practice generally considers that a risk of vertical effect can be ruled out as long as the market share of the company resulting from the operation in the relevant markets does not exceed 30%.</w:t>
      </w:r>
    </w:p>
    <w:p>
      <w:r>
        <w:t>29. In this case, there is a vertical link between InVivo's production of certain products (animal feed, plant protection products, and seeds) and the distribution of these products to the general public via the businesses owned by TGP (notably through its purchasing center Edimag) and AD.</w:t>
      </w:r>
    </w:p>
    <w:p>
      <w:r>
        <w:t>30. However, the market shares of the parties are below 20% for each of these products and consequently, the notified operation is not likely to harm competition through vertical effects.</w:t>
      </w:r>
    </w:p>
    <w:p>
      <w:r>
        <w:rPr>
          <w:b/>
        </w:rPr>
        <w:t>[Pages 7–7]</w:t>
      </w:r>
    </w:p>
    <w:p>
      <w:r>
        <w:t xml:space="preserve">DECIDES  </w:t>
        <w:br/>
        <w:t xml:space="preserve">Sole Article: The notified transaction under number 17-114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