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https://www.autoritedelaconcurrence.fr/fr/decision-de-controle-des-concentrations/relative-la-prise-de-controle-exclusif-des-societes-tilguit</w:t>
      </w:r>
    </w:p>
    <w:p>
      <w:r>
        <w:t>Pages translated : 8</w:t>
      </w:r>
    </w:p>
    <w:p/>
    <w:p>
      <w:r>
        <w:rPr>
          <w:b/>
        </w:rPr>
        <w:t>[Pages 1–3]</w:t>
      </w:r>
    </w:p>
    <w:p>
      <w:r>
        <w:t>FRENCH REPUBLIC</w:t>
        <w:br/>
        <w:t>Decision No. 12-DCC-57 of May 4, 2012</w:t>
        <w:br/>
        <w:t>regarding the exclusive control</w:t>
        <w:br/>
        <w:t>of the companies Tilguit, Ludivan, and Vanlube</w:t>
        <w:br/>
        <w:t>by the company ITM Alimentaire Nord</w:t>
        <w:br/>
        <w:t>The Competition Authority,</w:t>
        <w:br/>
        <w:t>Having regard to the notification file submitted in full to the merger service on February 15, 2012, regarding the exclusive control of the companies Tilguit, Ludivan, and Vanlube by the company ITM Alimentaire Nord, formalized by a share transfer protocol concluded between Mr. X and the company ITM AN on July 20, 2011;</w:t>
        <w:br/>
        <w:t>Having regard to Book IV of the Commercial Code relating to price and competition freedom, and in particular its Articles L. 430-1 to L. 430-7;</w:t>
        <w:br/>
        <w:t>Having regard to the commitments presented on April 10, 2012, last modified on April 19, 2012, by the notifying party;</w:t>
        <w:br/>
        <w:t>Having regard to the additional elements transmitted by the parties during the investigation;</w:t>
        <w:br/>
        <w:t>Adopts the following decision:</w:t>
        <w:br/>
        <w:t>I. The concerned companies and the operation</w:t>
        <w:br/>
        <w:t>1. The company ITM Entreprises, 100% controlled by the Société civile des Mousquetaires, itself held by more than 1,400 individuals known as "associated members," manages and animates the network of independent merchants known as the "Groupement des Mousquetaires." As a franchisor, ITM Entreprises' main activity is to animate a network of retail businesses focused on food and non-food, operated by independent merchants under the brands Intermarché, Ecomarché, Netto, Bricomarché, and Roady, and also manages two restaurant networks operated under the brands Restaumarché and Poivre Rouge. This management is carried out notably through the signing and monitoring of brand contracts with the companies operating these businesses. ITM Entreprises provides its franchisees with various services, including prospecting, consulting, and training. ITM Entreprises also offers franchisees the opportunity to benefit from advantageous supply conditions with its national and regional subsidiaries as well as with external suppliers referenced outside the "Groupement des Mousquetaires" (hereinafter "ITM").</w:t>
        <w:br/>
        <w:t>2. The company ITM Alimentaire nord (hereinafter "ITM AN") is a company under French law, controlled by ITM Entreprises via the company ITM Alimentaire France, and active in the retail sector with a focus on food. It is responsible for managing and developing the network of franchisees operating under the Intermarché, Ecomarché, and Netto brands in the north of France.</w:t>
        <w:br/>
        <w:t>3. The companies Tilguit, Ludivan, and Vanlube (hereinafter "the target companies") are companies under French law exclusively controlled by Mr. X. Each of these three companies is engaged in the operation of a retail store focused on food: Tilguit operates a sales outlet of 3,563 m² under the Intermarché brand in Goincourt (60); Ludivan operates a sales outlet of 5,234 m² under the Intermarché brand in Beauvais (60); Vanlube operates a store of 500 m², under the Netto brand, also located in Beauvais (60).</w:t>
        <w:br/>
        <w:t>4. The operation notified by the parties consists of the transfer to ITM AN of all the shares held by Mr. X in the capital of the companies Tilguit, Ludivan, and Vanlube. As it results in the acquisition of exclusive control of the target companies by ITM AN, the notified operation is indeed a concentration within the meaning of Article L. 430-1 of the Commercial Code.</w:t>
        <w:br/>
        <w:t>5. The concerned companies together achieve a total worldwide turnover of more than 75 million euros (ITM Entreprises and its subsidiaries1: […] billion euros for the fiscal year 2010; the target companies: […] million euros for the same fiscal year). At least two of these companies achieve a turnover in France exceeding 15 million euros (ITM Entreprises and its subsidiaries: […] billion euros for the fiscal year ending in 2010; the target companies: […] million euros for the same fiscal year).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br/>
        <w:t>II. Delimitation of relevant markets</w:t>
        <w:br/>
        <w:t>6. According to the consistent practice of national and community competition authorities, two categories of markets can be delineated in the food retail sector. These are, on the one hand, "downstream" markets, of local dimension, which bring together retail companies and consumers for the sale of consumer goods, and, on the other hand, "upstream" markets for supplying retail companies with everyday consumer goods, of national dimension.</w:t>
        <w:br/>
        <w:t>1 The ITM Entreprises group includes the company ITM Entreprises as well as the companies it controls directly or indirectly through subsidiaries.</w:t>
        <w:br/>
        <w:t>2</w:t>
      </w:r>
    </w:p>
    <w:p>
      <w:r>
        <w:t>A. UPSTREAM SUPPLY MARKETS</w:t>
        <w:br/>
        <w:t>7. Regarding supply markets, the European Commission has identified the existence of national markets by major product groups, a delineation followed by national authorities2.</w:t>
        <w:br/>
        <w:t>8. There is no reason to challenge this delineation in the context of the present operation.</w:t>
        <w:br/>
        <w:t>B. DOWNSTREAM DISTRIBUTION MARKETS</w:t>
        <w:br/>
        <w:t>1. SERVICE MARKETS</w:t>
        <w:br/>
        <w:t>9. Concerning the retail sale of everyday consumer goods, competition authorities, both at the community and national levels,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w:t>
        <w:br/>
        <w:t>10. Supermarkets are usually defined as food-dominant stores with a legal sales area of less than 2,500 m² and hypermarkets as stores with a legal sales area of more than 2,500 m². In this case, the stores concerned by the operation currently occupy sales areas ranging from 500 m² to 5,234 m², with two of the stores concerned falling into the hypermarket category and one falling into the supermarket category.</w:t>
        <w:br/>
        <w:t>11. However, while the overall service provided by hypermarkets (product diversity, depth of ranges, accessibility, low prices) is specific and not provided by any other form of commerce, the size criterion that determines the extent of the assortment of ranges between supermarkets and hypermarkets must be used in each case with caution, as stores whose area is close to the threshold that distinguishes them (2,500 m²), whether below or above, may, in fact, be in direct competition. Therefore, the conditions under which the market actually operates are taken into account, notably the fact that, in a number of geographical configurations, a hypermarket may typically be used by certain consumers as a proximity store, in substitution for a supermarket. Conversely, the reverse is almost never verified and is even less so the larger the hypermarket in question.</w:t>
        <w:br/>
        <w:t>12. Furthermore, the advisory practice3 of the Competition Authority considers that e-commerce for food products, which results in home delivery or delivery to a "drive" store, is not substitutable for food-dominant retail stores.</w:t>
        <w:br/>
        <w:t>2 See notably the decisions of the minister in the sector, C.2005-98 Carrefour/Penny Market of November 10, 2005, C.2006-15 Carrefour/Groupe Hamon of April 14, 2006, C.2007-172 relating to the creation of the joint venture Plamidis of February 13, 2008, and C.2008-32 Carrefour/SAGC of July 9, 2008; as well as the decisions of the Competition Authority No. 11-DCC-45, 11-DCC-05, and 11-DCC-04 mentioned above.</w:t>
        <w:br/>
        <w:t>3 See notably opinion No. 12-A-01 of January 11, 2012, regarding the competitive situation in the food distribution sector in Paris.</w:t>
      </w:r>
    </w:p>
    <w:p>
      <w:r>
        <w:rPr>
          <w:b/>
        </w:rPr>
        <w:t>[Pages 4–6]</w:t>
      </w:r>
    </w:p>
    <w:p>
      <w:r>
        <w:t>vente - 3 000 m²).</w:t>
        <w:br/>
        <w:t>31. En conséquence, sur le marché de Goincourt, la pression concurrentielle s’exerçant sur les magasins ITM est également faible, en raison du nombre limité de concurrents et de la part de marché élevée d’ITM.</w:t>
        <w:br/>
        <w:t>32. De plus, comme pour la zone de Beauvais Nord, l’opération n’entraîne pas de changement d’enseigne, mais consiste en la prise de contrôle exclusif par ITM AN de points de vente qui étaient antérieurement indépendants. Cela renforce le pouvoir de marché d’Intermarché et réduit la concurrence dans la zone.</w:t>
        <w:br/>
        <w:t>33. Afin de lever les doutes sérieux quant aux effets de l’opération sur la concurrence, les parties ont proposé de céder à un concurrent l’hypermarché (6 000 m² - exploité par Financière RSV) sous enseigne Intermarché situé à Goincourt. Cet engagement permettra de réduire la part de marché d’ITM à [40-50] % et l’entrée d’une nouvelle enseigne sur la zone de 30 minutes autour du magasin Intermarché de Goincourt. En conséquence, sous réserve des engagements proposés, l’opération n’est pas de nature à porter atteinte à la concurrence sur cette zone.</w:t>
      </w:r>
    </w:p>
    <w:p>
      <w:r>
        <w:rPr>
          <w:b/>
        </w:rPr>
        <w:t>[Pages 7–8]</w:t>
      </w:r>
    </w:p>
    <w:p>
      <w:r>
        <w:t>hypermarket Auchan (9,600 m², or [20-30]% of the surfaces), two Hyper U hypermarkets ([10-20]% market share - one store of 3,280 m² and one store currently being expanded to occupy a sales area of 3,200 m²). and a Leclerc hypermarket ([10-20]% market share - 6,521 m²). However, the Leclerc hypermarket is on the edge of the area and therefore exerts less competition on the parties' points of sale. Furthermore, the authorization from the CDEC corresponding to the extension of the Système U store in Sainte Geneviève dates back to 2007 and the project has still not been realized. If we do not take into account the existence of this store in the catchment area of 30 minutes around the target store, the cumulative market share of ITM amounts to [50-60]%.</w:t>
      </w:r>
    </w:p>
    <w:p>
      <w:r>
        <w:t>31. ITM therefore holds a significant market share in this area and faces reduced competitive pressure. In any case, the commitment made by ITM AN for the Beauvais Nord area will reduce ITM's market share to [30-40]% and allow for the entry of a new brand in the 30-minute area around the Intermarché store in Goincourt. Consequently, the operation is not likely to harm competition in this area.</w:t>
      </w:r>
    </w:p>
    <w:p>
      <w:r>
        <w:t>IV. Proposed Commitments</w:t>
      </w:r>
    </w:p>
    <w:p>
      <w:r>
        <w:t>32. In order to address serious doubts regarding the effects of the operation on competition in the downstream retail markets focused on food, ITM AN submitted a proposal for commitments on April 10, 2012, which was last modified on April 19, 2012. The full text of these commitments, attached as an annex, is an integral part of this decision.</w:t>
      </w:r>
    </w:p>
    <w:p>
      <w:r>
        <w:t>33. The commitments proposed by the notifying party consist of the sale, to a viable and independent buyer, of the store operating under the Intermarché brand with a surface area of 6,000 m², located at 9 avenue Montaigne in Beauvais (60). [Confidential].</w:t>
      </w:r>
    </w:p>
    <w:p>
      <w:r>
        <w:t>34. Furthermore, ITM AN, ITM E, and their subsidiaries are prohibited, for a period of 10 years from the date of this decision, from acquiring direct or indirect influence over the divested store.</w:t>
      </w:r>
    </w:p>
    <w:p>
      <w:r>
        <w:t>35. The notifying party also commits to appointing an independent representative whose mission will be to ensure the satisfactory execution by ITM AN, ITM E, and their subsidiaries of their obligations. If it does not find a buyer for the Beauvais-sud hypermarket before [Confidential], a representative will be tasked with finding a buyer for the store and negotiating with them, on behalf of ITM AN, the terms of the sale.</w:t>
      </w:r>
    </w:p>
    <w:p>
      <w:r>
        <w:t>36. The buyer must be independent of the notifying party and have no ties to it. They must possess the financial resources and expertise to preserve and develop in a viable manner the capacity of the divested activities to stimulate competition in the relevant markets.</w:t>
      </w:r>
    </w:p>
    <w:p>
      <w:r>
        <w:t>37. These commitments will significantly reduce ITM's market share and allow for the entry of a new brand. They will therefore lead to increased competition and remedy the identified risks of harm to competition.</w:t>
      </w:r>
    </w:p>
    <w:p>
      <w:r>
        <w:t>38. Consequently, the Authority considers that the commitments proposed by the notifying party are sufficient to eliminate all serious doubts regarding the effects of the operation on competition.</w:t>
      </w:r>
    </w:p>
    <w:p>
      <w:r>
        <w:t>DECIDES</w:t>
      </w:r>
    </w:p>
    <w:p>
      <w:r>
        <w:t>Sole Article: The operation notified under number 12-024 is authorized subject to compliance with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