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https://www.autoritedelaconcurrence.fr/fr/decision-de-controle-des-concentrations/relative-la-prise-de-controle-exclusif-des-societes-tressol</w:t>
      </w:r>
    </w:p>
    <w:p>
      <w:r>
        <w:t>Pages translated : 4</w:t>
      </w:r>
    </w:p>
    <w:p/>
    <w:p>
      <w:r>
        <w:rPr>
          <w:b/>
        </w:rPr>
        <w:t>[Pages 1–3]</w:t>
      </w:r>
    </w:p>
    <w:p>
      <w:r>
        <w:t xml:space="preserve">FRENCH REPUBLIC  </w:t>
        <w:br/>
        <w:t xml:space="preserve">Decision No. 12-DCC-142 of September 28, 2012  </w:t>
        <w:br/>
        <w:t>regarding the exclusive control of the companies Tressol, Tressol Auto, and Tressol Pezenas by the company NDK</w:t>
      </w:r>
    </w:p>
    <w:p>
      <w:r>
        <w:t xml:space="preserve">The Competition Authority,  </w:t>
        <w:br/>
        <w:t xml:space="preserve">Having regard to the notification file submitted in full to the merger service on August 24, 2012, regarding the exclusive control of the companies Tressol, Tressol Auto, and Tressol Pezenas by the company NDK as materialized in a transfer protocol dated July 26, 2012;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NDK is a public limited company under French law, 97% owned and controlled by the company SPFC, which is itself controlled by five individuals who are members of the Chabrier family. SPFC is active in the sector of automobile distribution through 13 dealerships under various brands (Citroën, Volkswagen, Audi, Skoda, Honda, Opel, Kia, Mitsubishi, Fiat, Renault, Hyundai, Suzuki) as well as real estate companies.  </w:t>
        <w:br/>
        <w:t xml:space="preserve">2. The three simplified joint-stock companies Tressol, Tressol Auto, and Tressol Pezenas (together, "the target companies") are active in the distribution of automobiles under the Citroën brand at various sites located in the departments of Hérault (34) and Aude (11). The companies Tressol Auto and Tressol Pezenas are respectively 99.65% and 100% subsidiaries of SAS Tressol. The latter is 53.2% owned by the company Nakima and 46.8% by the Tressol joint ownership.  </w:t>
        <w:br/>
        <w:t xml:space="preserve">3. The operation, materialized by a share transfer agreement dated July 26, 2012, consists of the purchase of all shares of SAS Tressol by NDK from the company Nakima and the Tressol joint ownership.  </w:t>
        <w:br/>
        <w:t>4. As it results in the exclusive control of the companies Tressol, Tressol Auto, and Tressol Pezenas by the company NDK, the notified operation is a concentration within the meaning of Article L. 430-1 of the Commercial Code.</w:t>
      </w:r>
    </w:p>
    <w:p>
      <w:r>
        <w:t>5. The concerned companies together achieve a total worldwide turnover of more than 150 million euros (NDK: 323.7 million euros in consolidated turnover for the fiscal year ending December 31, 2011; target companies: 83.9 million for the same fiscal year). At least two of these companies achieve a turnover in France exceeding 50 million euros (NDK: 323.7 million euros for the fiscal year ending December 31, 2011; target companies: 83.9 million for the same fiscal year).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MARKETS  </w:t>
        <w:br/>
        <w:t xml:space="preserve">6. In the automobile distribution sector, decision-making practice distinguishes (i) the distribution of new passenger vehicles intended for private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automobiles; (vii) the distribution of rental services.  </w:t>
        <w:br/>
        <w:t xml:space="preserve">7. There is no need to challenge these delimitations during the examination of the present operation.  </w:t>
        <w:br/>
        <w:t>8. The concerned companies are simultaneously present in each of these markets, with the exception of the rental services market.</w:t>
      </w:r>
    </w:p>
    <w:p>
      <w:r>
        <w:t xml:space="preserve">B. GEOGRAPHICAL DELIMITATION OF MARKETS  </w:t>
        <w:br/>
        <w:t xml:space="preserve">9. Regarding the retail sale of new or used automobiles, spare parts and automotive accessories, and maintenance and repair services for automobiles, decision-making practice adopts a local definition, with the analysis generally conducted at the departmental level.  </w:t>
        <w:br/>
        <w:t>10. In this case, the activities of the parties overlap in the departments of Hérault (34) and Aude (11). The competitive analysis will therefore be conducted in these departments.</w:t>
      </w:r>
    </w:p>
    <w:p>
      <w:r>
        <w:t xml:space="preserve">III. Competitive Analysis  </w:t>
        <w:br/>
        <w:t xml:space="preserve">11. Regarding the sale of new vehicles, decision-making practice considers as an indicator, for the calculation of market shares, the ratio between the sales made by the parties in the department concerned by the operation and the total registrations of new vehicles of the corresponding category recorded in the same department by the prefectures.  </w:t>
        <w:br/>
        <w:t xml:space="preserve">12. In the department of Hérault (34), in the various markets concerned by the operation, the parties to the concentration present the following market shares:  </w:t>
        <w:br/>
        <w:t xml:space="preserve">Hérault (34)  </w:t>
        <w:br/>
        <w:t xml:space="preserve">NDK Tressol Cumulative  </w:t>
        <w:br/>
        <w:t xml:space="preserve">Distribution of new passenger vehicles intended for private customers  </w:t>
        <w:br/>
        <w:t xml:space="preserve">5.8% 4.9% 10.7%  </w:t>
        <w:br/>
        <w:t xml:space="preserve">Distribution of new passenger vehicles intended for professional customers  </w:t>
        <w:br/>
        <w:t xml:space="preserve">5.8% 6.5% 12.3%  </w:t>
        <w:br/>
        <w:t xml:space="preserve">Distribution of new commercial vehicles  </w:t>
        <w:br/>
        <w:t xml:space="preserve">1.8% 7.6% 9.4%  </w:t>
        <w:br/>
        <w:t xml:space="preserve">Distribution of used vehicles  </w:t>
        <w:br/>
        <w:t xml:space="preserve">0.6% 2% 2.6%  </w:t>
        <w:br/>
        <w:t xml:space="preserve">13. It follows from this data that the new entity will represent a share of less than 13% of the various markets for the distribution of new passenger vehicles, and a share of less than 5% in the market for the distribution of used vehicles.  </w:t>
        <w:br/>
        <w:t xml:space="preserve">14. In the department of Aude (11), in the various markets concerned by the operation, the parties to the concentration present the following market shares:  </w:t>
        <w:br/>
        <w:t xml:space="preserve">Aude (11)  </w:t>
        <w:br/>
        <w:t xml:space="preserve">NDK Tressol Cumulative  </w:t>
        <w:br/>
        <w:t xml:space="preserve">Distribution of new passenger vehicles intended for private customers  </w:t>
        <w:br/>
        <w:t xml:space="preserve">23.9% 3.4% 27.3%  </w:t>
        <w:br/>
        <w:t xml:space="preserve">Distribution of new passenger vehicles intended for professional customers  </w:t>
        <w:br/>
        <w:t xml:space="preserve">24% 3.4% 27.4%  </w:t>
        <w:br/>
        <w:t xml:space="preserve">Distribution of new commercial vehicles  </w:t>
        <w:br/>
        <w:t xml:space="preserve">11.5% 4.4% 15.9%  </w:t>
        <w:br/>
        <w:t xml:space="preserve">Distribution of used vehicles  </w:t>
        <w:br/>
        <w:t xml:space="preserve">3% 1.7% 4.7%  </w:t>
        <w:br/>
        <w:t>15. It follows from this data that the parties will represent in the markets for the distribution of new passenger vehicles intended for private and professional customers market shares of less than 30%. In the market for the distribution of new commercial vehicles, the cumulative market shares of the parties will represent.</w:t>
      </w:r>
    </w:p>
    <w:p>
      <w:r>
        <w:rPr>
          <w:b/>
        </w:rPr>
        <w:t>[Pages 4–4]</w:t>
      </w:r>
    </w:p>
    <w:p>
      <w:r>
        <w:t>15.9%. In these markets, the new entity will continue to face competition from other dealers, both under the Citroën brand and under other brands. Furthermore, the parties together represent less than 5% of the market for the distribution of used vehicles in the department of Aude.</w:t>
      </w:r>
    </w:p>
    <w:p>
      <w:r>
        <w:t>16. In the retail market for automotive spare parts and accessories and in the market for maintenance and repair services for motor vehicles, the parties estimated their cumulative market shares at 6.3% in the department of Hérault (34) and at 13.7% in Aude (11). The new entity will face competition from other Citroën dealers and from garages and repairers authorized by the manufacturer. It will also face competition from numerous independent garages and repairers, as well as from specialized brands such as Midas, Centres AD, Feu Vert, Speedy, Feu Vert, or Norauto, which may offer consumers identical or equivalent quality spare parts and accessories, as well as maintenance and repair services for motor vehicles similar to those distributed by the new entity.</w:t>
      </w:r>
    </w:p>
    <w:p>
      <w:r>
        <w:t>17. Given the above elements, the operation is not likely to harm competition in the relevant markets.</w:t>
      </w:r>
    </w:p>
    <w:p>
      <w:r>
        <w:t>DECIDES</w:t>
      </w:r>
    </w:p>
    <w:p>
      <w:r>
        <w:t>Sole Article: The operation notified under number 12-143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