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https://www.autoritedelaconcurrence.fr/fr/decision-de-controle-des-concentrations/relative-la-prise-de-controle-exclusif-des-societes-tuppin</w:t>
      </w:r>
    </w:p>
    <w:p>
      <w:r>
        <w:t>Pages translated : 2</w:t>
      </w:r>
    </w:p>
    <w:p/>
    <w:p>
      <w:r>
        <w:rPr>
          <w:b/>
        </w:rPr>
        <w:t>[Pages 1–2]</w:t>
      </w:r>
    </w:p>
    <w:p>
      <w:r>
        <w:t xml:space="preserve">FRENCH REPUBLIC  </w:t>
        <w:br/>
        <w:t xml:space="preserve">Decision No. 23-DCC-119 of June 21, 2023  </w:t>
        <w:br/>
        <w:t xml:space="preserve">regarding the exclusive control acquisition of the companies Tuppin Mary Automobiles Soissons, Mary Tuppin Automobiles Laon, SAS Aisne Oise Automobiles, and Mary Tuppin Agencies by the Riester group  </w:t>
        <w:br/>
        <w:t xml:space="preserve">The Competition Authority,  </w:t>
        <w:br/>
        <w:t xml:space="preserve">Having regard to the complete notification file submitted to the mergers department on June 5, 2023, concerning the exclusive control acquisition by the Riester group of the companies Tuppin Mary Automobiles Soissons, Mary Tuppin Automobiles Laon, SAS Aisne Oise Automobiles, and Mary Tuppin Agencies, subsidiaries of the François Mary group formalized by a transfer protocol dated May 12,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Tuppin Mary Automobiles Soissons, Mary Tuppin Automobiles Laon, SAS Aisne Oise Automobiles, and Mary Tuppin Agencies, subsidiaries of the François Mary group, each operating a business of automobile distribution in the department of Aisne (02), by the Riester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23-139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